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1EA7" w14:textId="362B56C4" w:rsidR="00E635CE" w:rsidRDefault="00E635CE" w:rsidP="00D8500D">
      <w:pPr>
        <w:jc w:val="center"/>
      </w:pPr>
      <w:r>
        <w:rPr>
          <w:noProof/>
        </w:rPr>
        <w:drawing>
          <wp:inline distT="0" distB="0" distL="0" distR="0" wp14:anchorId="049136E5" wp14:editId="6C5B1E42">
            <wp:extent cx="6153150" cy="435151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Mind-Logo-rgb-300dpi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189" cy="435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A1F2" w14:textId="379F2F3A" w:rsidR="00E635CE" w:rsidRDefault="00E635CE" w:rsidP="002023D4">
      <w:pPr>
        <w:pStyle w:val="berschrift1"/>
        <w:numPr>
          <w:ilvl w:val="0"/>
          <w:numId w:val="0"/>
        </w:numPr>
        <w:jc w:val="center"/>
      </w:pPr>
      <w:r>
        <w:t xml:space="preserve">Kostenlose Vorlage: </w:t>
      </w:r>
      <w:r>
        <w:br/>
      </w:r>
      <w:r w:rsidR="0059115E">
        <w:t>Datenschutzbericht bzw. Tätigkeitsbericht des Datenschutzbeauftragten</w:t>
      </w:r>
    </w:p>
    <w:p w14:paraId="449A7A02" w14:textId="77777777" w:rsidR="00E635CE" w:rsidRDefault="00E635CE" w:rsidP="00E635CE"/>
    <w:p w14:paraId="7547884C" w14:textId="37AC7C10" w:rsidR="00E635CE" w:rsidRDefault="00E635CE" w:rsidP="00E635CE">
      <w:r>
        <w:t xml:space="preserve">Bei diesem Dokument handelt es sich um eine kostenlose Vorlage bzw. Checkliste der activeMind AG </w:t>
      </w:r>
      <w:r w:rsidR="00106170">
        <w:t xml:space="preserve">zu </w:t>
      </w:r>
      <w:r>
        <w:t xml:space="preserve">den Themenbereichen Datenschutz und Datensicherheit. Die aktuellste Version finden Sie stets </w:t>
      </w:r>
      <w:hyperlink r:id="rId9" w:history="1">
        <w:r w:rsidR="00106170">
          <w:rPr>
            <w:rStyle w:val="Hyperlink"/>
          </w:rPr>
          <w:t>im Downloadbereich u</w:t>
        </w:r>
        <w:r w:rsidRPr="00A20B20">
          <w:rPr>
            <w:rStyle w:val="Hyperlink"/>
          </w:rPr>
          <w:t>nserer Website</w:t>
        </w:r>
      </w:hyperlink>
      <w:r>
        <w:t xml:space="preserve">. </w:t>
      </w:r>
    </w:p>
    <w:p w14:paraId="5444C930" w14:textId="77777777" w:rsidR="00E635CE" w:rsidRDefault="00E635CE" w:rsidP="00E635CE">
      <w:r>
        <w:t xml:space="preserve">Sie können dieses Dokument an die Bedürfnisse in Ihrem Unternehmen anpassen, speichern und ausdrucken. Bitte haben Sie Verständnis dafür, dass die activeMind AG keinerlei Haftung für etwaige Fehler übernimmt. </w:t>
      </w:r>
    </w:p>
    <w:p w14:paraId="6DE720C2" w14:textId="77777777" w:rsidR="00E635CE" w:rsidRDefault="00E635CE" w:rsidP="00E635CE">
      <w:r>
        <w:t>Bei Fragen oder Problemen helfen wir Ihnen gerne weiter!</w:t>
      </w:r>
    </w:p>
    <w:p w14:paraId="56E0A903" w14:textId="77777777" w:rsidR="00E635CE" w:rsidRDefault="00E635CE" w:rsidP="00E635CE">
      <w:r>
        <w:t>Ihr Team der activeMind AG</w:t>
      </w:r>
    </w:p>
    <w:p w14:paraId="03C0BFB8" w14:textId="20CC4993" w:rsidR="00E635CE" w:rsidRDefault="00E635CE" w:rsidP="00E635CE">
      <w:r>
        <w:t xml:space="preserve">Telefon: </w:t>
      </w:r>
      <w:r>
        <w:tab/>
      </w:r>
      <w:r w:rsidR="00D07CCB" w:rsidRPr="00D07CCB">
        <w:t>+49 (0)89 / 91 92 94 – 900</w:t>
      </w:r>
      <w:r>
        <w:br/>
        <w:t xml:space="preserve">E-Mail: </w:t>
      </w:r>
      <w:r>
        <w:tab/>
      </w:r>
      <w:r>
        <w:tab/>
      </w:r>
      <w:hyperlink r:id="rId10" w:history="1">
        <w:r w:rsidRPr="0056074D">
          <w:rPr>
            <w:rStyle w:val="Hyperlink"/>
          </w:rPr>
          <w:t>anfrage@activemind.de</w:t>
        </w:r>
      </w:hyperlink>
      <w:r>
        <w:br/>
        <w:t xml:space="preserve">Web: </w:t>
      </w:r>
      <w:r>
        <w:tab/>
      </w:r>
      <w:r>
        <w:tab/>
      </w:r>
      <w:hyperlink r:id="rId11" w:history="1">
        <w:r w:rsidRPr="0056074D">
          <w:rPr>
            <w:rStyle w:val="Hyperlink"/>
          </w:rPr>
          <w:t>https://www.activemind.de</w:t>
        </w:r>
      </w:hyperlink>
      <w:r>
        <w:t xml:space="preserve"> </w:t>
      </w:r>
      <w:r>
        <w:br w:type="page"/>
      </w:r>
    </w:p>
    <w:p w14:paraId="135A67E4" w14:textId="7D75CBC7" w:rsidR="0059115E" w:rsidRDefault="0059115E" w:rsidP="00B81CD8">
      <w:pPr>
        <w:pStyle w:val="Titel"/>
      </w:pPr>
      <w:r w:rsidRPr="0059115E">
        <w:lastRenderedPageBreak/>
        <w:t xml:space="preserve">Mustergliederung für </w:t>
      </w:r>
      <w:r>
        <w:t xml:space="preserve">einen Datenschutz-Jahresbericht </w:t>
      </w:r>
      <w:r w:rsidRPr="0059115E">
        <w:t>mit Recherchequellen</w:t>
      </w:r>
    </w:p>
    <w:p w14:paraId="39722300" w14:textId="6A16358E" w:rsidR="0059115E" w:rsidRPr="00A531A6" w:rsidRDefault="0059115E" w:rsidP="002023D4">
      <w:pPr>
        <w:pStyle w:val="berschrift1"/>
      </w:pPr>
      <w:r w:rsidRPr="00A531A6">
        <w:t>Allgemeines zum Datenschutz</w:t>
      </w:r>
    </w:p>
    <w:p w14:paraId="6AB583B9" w14:textId="0212A3BB" w:rsidR="0059115E" w:rsidRPr="0059115E" w:rsidRDefault="0059115E" w:rsidP="002023D4">
      <w:pPr>
        <w:pStyle w:val="berschrift2"/>
      </w:pPr>
      <w:r w:rsidRPr="0059115E">
        <w:t>Bedeutung des Datenschutzes – Jahresüberblick</w:t>
      </w:r>
    </w:p>
    <w:p w14:paraId="1AE2C924" w14:textId="0F88E2AC" w:rsidR="00CF74F6" w:rsidRDefault="00CF74F6" w:rsidP="00CF74F6">
      <w:pPr>
        <w:pStyle w:val="Listenabsatz"/>
        <w:numPr>
          <w:ilvl w:val="0"/>
          <w:numId w:val="12"/>
        </w:numPr>
      </w:pPr>
      <w:r w:rsidRPr="00CF74F6">
        <w:t>Das neue Recht ist in Kraft</w:t>
      </w:r>
      <w:r>
        <w:t xml:space="preserve">: </w:t>
      </w:r>
      <w:r w:rsidRPr="00CF74F6">
        <w:t>Seit dem 25.05.2018 sind die Datenschutz-Grundverordnung und das neue BDSG wirksam.</w:t>
      </w:r>
      <w:r w:rsidRPr="00CF74F6" w:rsidDel="00CF74F6">
        <w:t xml:space="preserve"> </w:t>
      </w:r>
      <w:r w:rsidRPr="00CF74F6">
        <w:t>Das neue Recht wurde bereits wieder geändert</w:t>
      </w:r>
      <w:r>
        <w:t xml:space="preserve">: </w:t>
      </w:r>
      <w:r>
        <w:rPr>
          <w:rFonts w:cs="Arial"/>
          <w:color w:val="000000"/>
        </w:rPr>
        <w:t>Am 19. April 2018 ergingen zahlreiche „Berichtigungen“ der DSGVO</w:t>
      </w:r>
    </w:p>
    <w:p w14:paraId="63D08A6B" w14:textId="3B600663" w:rsidR="00CF74F6" w:rsidRPr="00D8500D" w:rsidRDefault="000E49AE" w:rsidP="00D8500D">
      <w:pPr>
        <w:pStyle w:val="Listenabsatz"/>
        <w:numPr>
          <w:ilvl w:val="0"/>
          <w:numId w:val="12"/>
        </w:numPr>
        <w:rPr>
          <w:rFonts w:cs="Arial"/>
          <w:color w:val="000000"/>
          <w:sz w:val="20"/>
          <w:szCs w:val="20"/>
        </w:rPr>
      </w:pPr>
      <w:r w:rsidRPr="000E49AE">
        <w:rPr>
          <w:rFonts w:cs="Arial"/>
          <w:color w:val="000000"/>
        </w:rPr>
        <w:t>Datenschutzkonferenz veröffentlicht Positivlisten zur Datenschutz-Folgenabschätzung</w:t>
      </w:r>
      <w:r>
        <w:rPr>
          <w:rFonts w:cs="Arial"/>
          <w:color w:val="000000"/>
        </w:rPr>
        <w:t xml:space="preserve">: </w:t>
      </w:r>
      <w:r w:rsidRPr="00D8500D">
        <w:rPr>
          <w:rFonts w:cs="Calibri"/>
          <w:color w:val="000000"/>
        </w:rPr>
        <w:t>Nachdem die Aufsichtsbehörden einzelner Länder den Anfang gemacht hatten, hat nun auch die Datenschutzkonferenz (DSK)</w:t>
      </w:r>
      <w:r w:rsidRPr="00D8500D">
        <w:rPr>
          <w:rStyle w:val="Funotenzeichen"/>
          <w:rFonts w:cs="Calibri"/>
          <w:color w:val="000000"/>
        </w:rPr>
        <w:footnoteReference w:id="1"/>
      </w:r>
      <w:r w:rsidRPr="00D8500D">
        <w:rPr>
          <w:rFonts w:cs="Calibri"/>
          <w:color w:val="000000"/>
        </w:rPr>
        <w:t xml:space="preserve"> eine Positivliste zur Datenschutz-Folgenabschätzung</w:t>
      </w:r>
      <w:r w:rsidR="00FC0B25" w:rsidRPr="00D8500D">
        <w:rPr>
          <w:rStyle w:val="Funotenzeichen"/>
          <w:rFonts w:cs="Calibri"/>
          <w:color w:val="000000"/>
        </w:rPr>
        <w:footnoteReference w:id="2"/>
      </w:r>
      <w:r w:rsidRPr="00D8500D">
        <w:rPr>
          <w:rFonts w:cs="Calibri"/>
          <w:color w:val="000000"/>
        </w:rPr>
        <w:t xml:space="preserve"> (DSFA) herausgegeben</w:t>
      </w:r>
    </w:p>
    <w:p w14:paraId="2BEF4207" w14:textId="1E1EC966" w:rsidR="00CF74F6" w:rsidRDefault="00CF74F6" w:rsidP="00D8500D">
      <w:pPr>
        <w:pStyle w:val="Listenabsatz"/>
        <w:numPr>
          <w:ilvl w:val="0"/>
          <w:numId w:val="12"/>
        </w:numPr>
        <w:rPr>
          <w:rFonts w:cs="Arial"/>
          <w:color w:val="000000"/>
        </w:rPr>
      </w:pPr>
      <w:r w:rsidRPr="00D8500D">
        <w:rPr>
          <w:rFonts w:cs="Arial"/>
          <w:color w:val="000000"/>
        </w:rPr>
        <w:t>Positionsbestimmung der Aufsichtsbehörden zum TMG</w:t>
      </w:r>
      <w:r w:rsidR="00FC0B25">
        <w:rPr>
          <w:rStyle w:val="Funotenzeichen"/>
          <w:rFonts w:cs="Arial"/>
          <w:color w:val="000000"/>
        </w:rPr>
        <w:footnoteReference w:id="3"/>
      </w:r>
      <w:r w:rsidRPr="00D8500D"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>Es werden darin im Wesentlichen drei Aussagen getroffen:</w:t>
      </w:r>
    </w:p>
    <w:p w14:paraId="14C4D6A5" w14:textId="77777777" w:rsidR="00CF74F6" w:rsidRPr="00C2392C" w:rsidRDefault="00CF74F6" w:rsidP="00D8500D">
      <w:pPr>
        <w:pStyle w:val="Listenabsatz"/>
        <w:numPr>
          <w:ilvl w:val="0"/>
          <w:numId w:val="26"/>
        </w:numPr>
        <w:spacing w:before="120" w:after="120"/>
        <w:ind w:left="1068"/>
        <w:jc w:val="both"/>
        <w:rPr>
          <w:rFonts w:cs="Arial"/>
          <w:color w:val="000000"/>
        </w:rPr>
      </w:pPr>
      <w:r w:rsidRPr="00C2392C">
        <w:rPr>
          <w:rFonts w:cs="Arial"/>
          <w:color w:val="000000"/>
        </w:rPr>
        <w:t>Die DSGVO verdrängt die bisherigen Datenschutzbestimmungen des Telemediengesetzes.</w:t>
      </w:r>
    </w:p>
    <w:p w14:paraId="5E6B3216" w14:textId="77777777" w:rsidR="00CF74F6" w:rsidRPr="00C2392C" w:rsidRDefault="00CF74F6" w:rsidP="00D8500D">
      <w:pPr>
        <w:pStyle w:val="Listenabsatz"/>
        <w:numPr>
          <w:ilvl w:val="0"/>
          <w:numId w:val="26"/>
        </w:numPr>
        <w:spacing w:before="120" w:after="120"/>
        <w:ind w:left="1068"/>
        <w:jc w:val="both"/>
        <w:rPr>
          <w:rFonts w:cs="Arial"/>
          <w:color w:val="000000"/>
        </w:rPr>
      </w:pPr>
      <w:r w:rsidRPr="00C2392C">
        <w:rPr>
          <w:rFonts w:cs="Arial"/>
          <w:color w:val="000000"/>
        </w:rPr>
        <w:t>Statt der §§ 12, 13 und 15 TMG muss künftig auf die Rechtsgrundlagen der DSGVO, speziell Art. 6, zurückgegriffen werden.</w:t>
      </w:r>
    </w:p>
    <w:p w14:paraId="0B989DD2" w14:textId="2938ECFA" w:rsidR="0059115E" w:rsidRPr="00D8500D" w:rsidRDefault="00CF74F6" w:rsidP="00D8500D">
      <w:pPr>
        <w:pStyle w:val="Listenabsatz"/>
        <w:numPr>
          <w:ilvl w:val="0"/>
          <w:numId w:val="26"/>
        </w:numPr>
        <w:spacing w:before="120" w:after="120"/>
        <w:ind w:left="1068"/>
        <w:jc w:val="both"/>
        <w:rPr>
          <w:rFonts w:cs="Arial"/>
          <w:color w:val="000000"/>
        </w:rPr>
      </w:pPr>
      <w:r w:rsidRPr="00C2392C">
        <w:rPr>
          <w:rFonts w:cs="Arial"/>
          <w:color w:val="000000"/>
        </w:rPr>
        <w:t>Der Einsatz von Tracking-</w:t>
      </w:r>
      <w:r>
        <w:rPr>
          <w:rFonts w:cs="Arial"/>
          <w:color w:val="000000"/>
        </w:rPr>
        <w:t xml:space="preserve">Mechanismen, </w:t>
      </w:r>
      <w:r w:rsidRPr="00C2392C">
        <w:rPr>
          <w:rFonts w:cs="Arial"/>
          <w:color w:val="000000"/>
        </w:rPr>
        <w:t>die das Verhalten von</w:t>
      </w:r>
      <w:r>
        <w:rPr>
          <w:rFonts w:cs="Arial"/>
          <w:color w:val="000000"/>
        </w:rPr>
        <w:t xml:space="preserve"> betroffenen Personen </w:t>
      </w:r>
      <w:r w:rsidRPr="00C2392C">
        <w:rPr>
          <w:rFonts w:cs="Arial"/>
          <w:color w:val="000000"/>
        </w:rPr>
        <w:t>im Internet nachvollziehbar machen</w:t>
      </w:r>
      <w:r w:rsidR="002023D4">
        <w:rPr>
          <w:rFonts w:cs="Arial"/>
          <w:color w:val="000000"/>
        </w:rPr>
        <w:t>,</w:t>
      </w:r>
      <w:r w:rsidRPr="00C2392C">
        <w:rPr>
          <w:rFonts w:cs="Arial"/>
          <w:color w:val="000000"/>
        </w:rPr>
        <w:t xml:space="preserve"> und die </w:t>
      </w:r>
      <w:r>
        <w:rPr>
          <w:rFonts w:cs="Arial"/>
          <w:color w:val="000000"/>
        </w:rPr>
        <w:t xml:space="preserve">Erstellung von </w:t>
      </w:r>
      <w:r w:rsidRPr="00C2392C">
        <w:rPr>
          <w:rFonts w:cs="Arial"/>
          <w:color w:val="000000"/>
        </w:rPr>
        <w:t xml:space="preserve">Nutzerprofilen ist nur noch mit </w:t>
      </w:r>
      <w:r>
        <w:rPr>
          <w:rFonts w:cs="Arial"/>
          <w:color w:val="000000"/>
        </w:rPr>
        <w:t>vorheriger Einwilligung möglich.</w:t>
      </w:r>
      <w:r w:rsidR="0059115E">
        <w:t xml:space="preserve"> </w:t>
      </w:r>
    </w:p>
    <w:p w14:paraId="4FEC2007" w14:textId="193D9991" w:rsidR="00CF74F6" w:rsidRDefault="00CF74F6" w:rsidP="00CF74F6">
      <w:pPr>
        <w:pStyle w:val="Listenabsatz"/>
        <w:numPr>
          <w:ilvl w:val="0"/>
          <w:numId w:val="12"/>
        </w:numPr>
      </w:pPr>
      <w:r>
        <w:t>Unternehmen die Fanpages auf Facebook betreiben sind nun offiziell</w:t>
      </w:r>
      <w:r w:rsidR="000E49AE">
        <w:t xml:space="preserve"> gemeinsame</w:t>
      </w:r>
      <w:r>
        <w:t xml:space="preserve"> Verantwortliche für </w:t>
      </w:r>
      <w:r w:rsidR="000E49AE">
        <w:t>deren</w:t>
      </w:r>
      <w:r>
        <w:t xml:space="preserve"> Onlinepräsenz</w:t>
      </w:r>
      <w:r w:rsidR="000E49AE">
        <w:t>. Dies geht mit neuen Pflichten einher</w:t>
      </w:r>
      <w:r w:rsidR="00FC0B25">
        <w:t>.</w:t>
      </w:r>
      <w:r w:rsidR="00FC0B25">
        <w:rPr>
          <w:rStyle w:val="Funotenzeichen"/>
        </w:rPr>
        <w:footnoteReference w:id="4"/>
      </w:r>
    </w:p>
    <w:p w14:paraId="6EE490E4" w14:textId="06389889" w:rsidR="000E49AE" w:rsidRPr="00D8500D" w:rsidRDefault="000E49AE" w:rsidP="00D8500D">
      <w:pPr>
        <w:pStyle w:val="Listenabsatz"/>
        <w:numPr>
          <w:ilvl w:val="0"/>
          <w:numId w:val="12"/>
        </w:numPr>
      </w:pPr>
      <w:r>
        <w:t xml:space="preserve">Gesetzentwurf gegen DSGVO-Abmahnungen: Es ist immer noch nicht abschließend geklärt, ob Verstöße gegen das Datenschutzrecht abmahnbar sind. </w:t>
      </w:r>
      <w:r w:rsidRPr="00D8500D">
        <w:t>Laut einem Gesetzesvorschlag soll das Gesetz gegen unlauteren Wettbewerb (UWG) dahingehend abgeändert werden, dass Abmahnungen von DSGVO-Verstößen ausdrücklich nicht möglich sind.</w:t>
      </w:r>
    </w:p>
    <w:p w14:paraId="6273302C" w14:textId="44408048" w:rsidR="000E49AE" w:rsidRPr="000E49AE" w:rsidRDefault="000E49AE" w:rsidP="000E49AE">
      <w:pPr>
        <w:pStyle w:val="Listenabsatz"/>
        <w:numPr>
          <w:ilvl w:val="0"/>
          <w:numId w:val="12"/>
        </w:numPr>
      </w:pPr>
      <w:r w:rsidRPr="000E49AE">
        <w:t>Das berufliche Leitbild der Datenschutzbeauftragten</w:t>
      </w:r>
      <w:r>
        <w:t xml:space="preserve">: </w:t>
      </w:r>
      <w:r w:rsidRPr="000E49AE">
        <w:t>Der Berufsverband der Datenschutzbeauftragten Deutschlands (</w:t>
      </w:r>
      <w:proofErr w:type="spellStart"/>
      <w:r w:rsidRPr="000E49AE">
        <w:t>BvD</w:t>
      </w:r>
      <w:proofErr w:type="spellEnd"/>
      <w:r w:rsidRPr="000E49AE">
        <w:t>) e.V. hat einen Leitfaden zum beruflichen Leitbild des Datenschutzbeauftragten (DSB) im</w:t>
      </w:r>
      <w:r>
        <w:t xml:space="preserve"> nicht-öffentlichen Bereich her</w:t>
      </w:r>
      <w:r w:rsidRPr="000E49AE">
        <w:t>ausgegeben.</w:t>
      </w:r>
      <w:r w:rsidR="00FC0B25">
        <w:rPr>
          <w:rStyle w:val="Funotenzeichen"/>
        </w:rPr>
        <w:footnoteReference w:id="5"/>
      </w:r>
    </w:p>
    <w:p w14:paraId="4066AB43" w14:textId="5404B344" w:rsidR="0059115E" w:rsidRDefault="0059115E" w:rsidP="002023D4">
      <w:pPr>
        <w:pStyle w:val="berschrift2"/>
      </w:pPr>
      <w:r w:rsidRPr="001F7CC6">
        <w:t>Zuständige Aufsichtsbehörde</w:t>
      </w:r>
    </w:p>
    <w:p w14:paraId="0DC0824A" w14:textId="77715564" w:rsidR="0059115E" w:rsidRPr="001F7CC6" w:rsidRDefault="0059115E" w:rsidP="0059115E">
      <w:pPr>
        <w:pStyle w:val="Listenabsatz"/>
        <w:numPr>
          <w:ilvl w:val="0"/>
          <w:numId w:val="14"/>
        </w:numPr>
      </w:pPr>
      <w:r w:rsidRPr="001F7CC6">
        <w:t>Kontakt und Tätigkeitsbericht</w:t>
      </w:r>
      <w:r w:rsidR="00A27169">
        <w:t xml:space="preserve"> der Aufsichtsbehörde</w:t>
      </w:r>
    </w:p>
    <w:p w14:paraId="2D53125F" w14:textId="77777777" w:rsidR="0059115E" w:rsidRPr="001F7CC6" w:rsidRDefault="0059115E" w:rsidP="0059115E"/>
    <w:p w14:paraId="66F496E8" w14:textId="5D8E53BE" w:rsidR="0059115E" w:rsidRDefault="0059115E" w:rsidP="002023D4">
      <w:pPr>
        <w:pStyle w:val="berschrift1"/>
      </w:pPr>
      <w:r w:rsidRPr="00A531A6">
        <w:lastRenderedPageBreak/>
        <w:t xml:space="preserve">Aktueller </w:t>
      </w:r>
      <w:r>
        <w:t>I</w:t>
      </w:r>
      <w:r w:rsidR="00142A30">
        <w:t>st</w:t>
      </w:r>
      <w:r>
        <w:t>-</w:t>
      </w:r>
      <w:r w:rsidRPr="00A531A6">
        <w:t>Status</w:t>
      </w:r>
      <w:r w:rsidR="00142A30">
        <w:t xml:space="preserve"> </w:t>
      </w:r>
      <w:r w:rsidR="00C30F02">
        <w:t>und Maßnahmen im Berichtszeitraum</w:t>
      </w:r>
    </w:p>
    <w:p w14:paraId="504E3EA9" w14:textId="10DFC8F5" w:rsidR="0059115E" w:rsidRDefault="0059115E" w:rsidP="002023D4">
      <w:pPr>
        <w:pStyle w:val="berschrift2"/>
      </w:pPr>
      <w:r>
        <w:t>Datenschutz</w:t>
      </w:r>
    </w:p>
    <w:p w14:paraId="64C6C750" w14:textId="446B5FB2" w:rsidR="0059115E" w:rsidRDefault="0059115E" w:rsidP="00142A30">
      <w:pPr>
        <w:pStyle w:val="Listenabsatz"/>
        <w:numPr>
          <w:ilvl w:val="0"/>
          <w:numId w:val="12"/>
        </w:numPr>
      </w:pPr>
      <w:r>
        <w:t>Auftragsverarbeitung</w:t>
      </w:r>
      <w:r w:rsidR="005A2349">
        <w:t xml:space="preserve"> (Abschluss der Auftragsverarbeitungsverträge, Übersichtsliste)</w:t>
      </w:r>
    </w:p>
    <w:p w14:paraId="0A90B1AB" w14:textId="1AD7F149" w:rsidR="00C30F02" w:rsidRDefault="00C30F02" w:rsidP="00142A30">
      <w:pPr>
        <w:pStyle w:val="Listenabsatz"/>
        <w:numPr>
          <w:ilvl w:val="0"/>
          <w:numId w:val="12"/>
        </w:numPr>
      </w:pPr>
      <w:r>
        <w:t>Vorabkontrollen</w:t>
      </w:r>
      <w:r>
        <w:t xml:space="preserve"> von Auftragsverarbeitern (Anzahl und Prüfschema)</w:t>
      </w:r>
    </w:p>
    <w:p w14:paraId="38D933CF" w14:textId="19DB9B1B" w:rsidR="0059115E" w:rsidRDefault="002023D4" w:rsidP="00142A30">
      <w:pPr>
        <w:pStyle w:val="Listenabsatz"/>
        <w:numPr>
          <w:ilvl w:val="0"/>
          <w:numId w:val="12"/>
        </w:numPr>
      </w:pPr>
      <w:r>
        <w:t xml:space="preserve">Verzeichnis von Verarbeitungstätigkeiten / </w:t>
      </w:r>
      <w:r w:rsidR="0059115E">
        <w:t>Verfahrensverzeichnis</w:t>
      </w:r>
      <w:r w:rsidR="005A2349">
        <w:t xml:space="preserve"> (Anzahl</w:t>
      </w:r>
      <w:r w:rsidR="00C30F02">
        <w:t xml:space="preserve"> und Bezeichnung</w:t>
      </w:r>
      <w:r w:rsidR="005A2349">
        <w:t>)</w:t>
      </w:r>
    </w:p>
    <w:p w14:paraId="7FA56DAD" w14:textId="58941752" w:rsidR="0059115E" w:rsidRDefault="0059115E" w:rsidP="00142A30">
      <w:pPr>
        <w:pStyle w:val="Listenabsatz"/>
        <w:numPr>
          <w:ilvl w:val="0"/>
          <w:numId w:val="12"/>
        </w:numPr>
      </w:pPr>
      <w:r>
        <w:t>Datenschutzverletzungen</w:t>
      </w:r>
      <w:r w:rsidR="00C30F02">
        <w:t xml:space="preserve"> (Anzahl und Beschreibung)</w:t>
      </w:r>
    </w:p>
    <w:p w14:paraId="40FDD311" w14:textId="1DDCBA15" w:rsidR="00A27169" w:rsidRDefault="0059115E">
      <w:pPr>
        <w:pStyle w:val="Listenabsatz"/>
        <w:numPr>
          <w:ilvl w:val="0"/>
          <w:numId w:val="12"/>
        </w:numPr>
      </w:pPr>
      <w:r>
        <w:t>Anfragen Betroffener</w:t>
      </w:r>
      <w:r w:rsidR="00C30F02">
        <w:t xml:space="preserve"> (Anzahl und Bezeichnung)</w:t>
      </w:r>
    </w:p>
    <w:p w14:paraId="5D7D3D81" w14:textId="6DCB9F0C" w:rsidR="00A27169" w:rsidRPr="00A27169" w:rsidRDefault="0059115E">
      <w:pPr>
        <w:pStyle w:val="Listenabsatz"/>
        <w:numPr>
          <w:ilvl w:val="0"/>
          <w:numId w:val="12"/>
        </w:numPr>
      </w:pPr>
      <w:r w:rsidRPr="005A2349">
        <w:t>Datenschutzschulungen</w:t>
      </w:r>
      <w:r w:rsidR="00C30F02">
        <w:t xml:space="preserve"> (Teilnehmer und Inhalt)</w:t>
      </w:r>
    </w:p>
    <w:p w14:paraId="3CC072A6" w14:textId="62E7BA88" w:rsidR="0059115E" w:rsidRDefault="002023D4" w:rsidP="002023D4">
      <w:pPr>
        <w:pStyle w:val="berschrift2"/>
      </w:pPr>
      <w:r>
        <w:t>S</w:t>
      </w:r>
      <w:r w:rsidR="0059115E">
        <w:t>icherheit der Verarbeitung</w:t>
      </w:r>
    </w:p>
    <w:p w14:paraId="3DFB2C89" w14:textId="6AD111A8" w:rsidR="0059115E" w:rsidRDefault="0059115E" w:rsidP="00782E72">
      <w:pPr>
        <w:pStyle w:val="Listenabsatz"/>
        <w:numPr>
          <w:ilvl w:val="0"/>
          <w:numId w:val="12"/>
        </w:numPr>
      </w:pPr>
      <w:r>
        <w:t>Datenschutzkonzept</w:t>
      </w:r>
      <w:r w:rsidR="002023D4">
        <w:rPr>
          <w:rStyle w:val="Funotenzeichen"/>
        </w:rPr>
        <w:footnoteReference w:id="6"/>
      </w:r>
    </w:p>
    <w:p w14:paraId="67E862A0" w14:textId="116B9F8C" w:rsidR="0059115E" w:rsidRDefault="002023D4" w:rsidP="00782E72">
      <w:pPr>
        <w:pStyle w:val="Listenabsatz"/>
        <w:numPr>
          <w:ilvl w:val="0"/>
          <w:numId w:val="12"/>
        </w:numPr>
      </w:pPr>
      <w:r>
        <w:t>W</w:t>
      </w:r>
      <w:r w:rsidR="0059115E">
        <w:t>eitere wesentliche Dokumentationen wie z.B. Berechtigungskonzept, IT-Nutzungsrichtlinie</w:t>
      </w:r>
      <w:r w:rsidR="00E4522C">
        <w:t>, Richtlinie Telearbeit</w:t>
      </w:r>
      <w:r w:rsidR="0059115E">
        <w:t xml:space="preserve"> </w:t>
      </w:r>
    </w:p>
    <w:p w14:paraId="3E71833A" w14:textId="7CB12014" w:rsidR="00C30F02" w:rsidRPr="00D8500D" w:rsidRDefault="00C30F02" w:rsidP="002023D4">
      <w:pPr>
        <w:pStyle w:val="berschrift2"/>
      </w:pPr>
      <w:r w:rsidRPr="00C30F02">
        <w:t>Maßnahmen im Berichtszeitraum</w:t>
      </w:r>
      <w:r w:rsidRPr="00D8500D">
        <w:t>:</w:t>
      </w:r>
    </w:p>
    <w:tbl>
      <w:tblPr>
        <w:tblStyle w:val="Gitternetztabelle1hellAkzent3"/>
        <w:tblW w:w="920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961"/>
      </w:tblGrid>
      <w:tr w:rsidR="00C30F02" w:rsidRPr="002023D4" w14:paraId="7EEFD7EA" w14:textId="77777777" w:rsidTr="0020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4" w:space="0" w:color="002060"/>
            </w:tcBorders>
            <w:hideMark/>
          </w:tcPr>
          <w:p w14:paraId="4608B036" w14:textId="77777777" w:rsidR="00C30F02" w:rsidRPr="002023D4" w:rsidRDefault="00C30F02" w:rsidP="00C403AC">
            <w:pPr>
              <w:rPr>
                <w:bCs w:val="0"/>
                <w:szCs w:val="24"/>
              </w:rPr>
            </w:pPr>
            <w:r w:rsidRPr="002023D4">
              <w:rPr>
                <w:bCs w:val="0"/>
                <w:szCs w:val="24"/>
              </w:rPr>
              <w:t>Maßnahme</w:t>
            </w:r>
          </w:p>
        </w:tc>
        <w:tc>
          <w:tcPr>
            <w:tcW w:w="4961" w:type="dxa"/>
            <w:tcBorders>
              <w:top w:val="single" w:sz="4" w:space="0" w:color="002060"/>
              <w:left w:val="single" w:sz="4" w:space="0" w:color="002060"/>
              <w:bottom w:val="single" w:sz="18" w:space="0" w:color="002060"/>
              <w:right w:val="single" w:sz="4" w:space="0" w:color="002060"/>
            </w:tcBorders>
          </w:tcPr>
          <w:p w14:paraId="565CF277" w14:textId="77777777" w:rsidR="00C30F02" w:rsidRPr="002023D4" w:rsidRDefault="00C30F02" w:rsidP="00C403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4"/>
              </w:rPr>
            </w:pPr>
            <w:r w:rsidRPr="002023D4">
              <w:rPr>
                <w:bCs w:val="0"/>
                <w:szCs w:val="24"/>
              </w:rPr>
              <w:t>Bemerkung</w:t>
            </w:r>
          </w:p>
          <w:p w14:paraId="46CE99D2" w14:textId="77777777" w:rsidR="00C30F02" w:rsidRPr="002023D4" w:rsidRDefault="00C30F02" w:rsidP="00C403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30F02" w:rsidRPr="002023D4" w14:paraId="2C20CDF5" w14:textId="77777777" w:rsidTr="002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1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3B28EA" w14:textId="77777777" w:rsidR="00C30F02" w:rsidRPr="002023D4" w:rsidRDefault="00C30F02" w:rsidP="00C403AC">
            <w:pPr>
              <w:rPr>
                <w:b w:val="0"/>
                <w:bCs w:val="0"/>
              </w:rPr>
            </w:pPr>
            <w:r w:rsidRPr="002023D4">
              <w:rPr>
                <w:b w:val="0"/>
                <w:bCs w:val="0"/>
              </w:rPr>
              <w:t>Audit am XXX</w:t>
            </w:r>
          </w:p>
        </w:tc>
        <w:tc>
          <w:tcPr>
            <w:tcW w:w="4961" w:type="dxa"/>
            <w:tcBorders>
              <w:top w:val="single" w:sz="1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9D6B0E" w14:textId="56948131" w:rsidR="00C30F02" w:rsidRPr="002023D4" w:rsidRDefault="00C30F02" w:rsidP="00C4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D4">
              <w:t xml:space="preserve">Siehe Auditbericht und Maßnahmenkatalog vom </w:t>
            </w:r>
            <w:r w:rsidRPr="002023D4">
              <w:rPr>
                <w:highlight w:val="yellow"/>
              </w:rPr>
              <w:t>X</w:t>
            </w:r>
            <w:r w:rsidR="002023D4" w:rsidRPr="002023D4">
              <w:rPr>
                <w:highlight w:val="yellow"/>
              </w:rPr>
              <w:t>YZ</w:t>
            </w:r>
          </w:p>
        </w:tc>
      </w:tr>
      <w:tr w:rsidR="00C30F02" w:rsidRPr="002023D4" w14:paraId="68698121" w14:textId="77777777" w:rsidTr="002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89E9A1" w14:textId="77777777" w:rsidR="00C30F02" w:rsidRPr="002023D4" w:rsidRDefault="00C30F02" w:rsidP="00C403AC">
            <w:pPr>
              <w:rPr>
                <w:b w:val="0"/>
                <w:bCs w:val="0"/>
              </w:rPr>
            </w:pPr>
            <w:r w:rsidRPr="002023D4">
              <w:rPr>
                <w:b w:val="0"/>
                <w:bCs w:val="0"/>
              </w:rPr>
              <w:t>Entwürfe folgender Dokumente</w:t>
            </w:r>
          </w:p>
        </w:tc>
        <w:tc>
          <w:tcPr>
            <w:tcW w:w="49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D46CC1" w14:textId="77777777" w:rsidR="00C30F02" w:rsidRPr="002023D4" w:rsidRDefault="00C30F02" w:rsidP="00C403AC">
            <w:pPr>
              <w:pStyle w:val="Listenabsatz"/>
              <w:numPr>
                <w:ilvl w:val="0"/>
                <w:numId w:val="27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D4">
              <w:t>Datenschutzkonzept</w:t>
            </w:r>
          </w:p>
          <w:p w14:paraId="4A5CE27C" w14:textId="77777777" w:rsidR="00C30F02" w:rsidRPr="002023D4" w:rsidRDefault="00C30F02" w:rsidP="00C403AC">
            <w:pPr>
              <w:pStyle w:val="Listenabsatz"/>
              <w:numPr>
                <w:ilvl w:val="0"/>
                <w:numId w:val="27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D4">
              <w:t>IT-Nutzungsrichtlinie</w:t>
            </w:r>
          </w:p>
        </w:tc>
      </w:tr>
      <w:tr w:rsidR="00C30F02" w:rsidRPr="002023D4" w14:paraId="7DC99E19" w14:textId="77777777" w:rsidTr="002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8BBB7C" w14:textId="77777777" w:rsidR="00C30F02" w:rsidRPr="002023D4" w:rsidRDefault="00C30F02" w:rsidP="00C403AC">
            <w:pPr>
              <w:rPr>
                <w:b w:val="0"/>
                <w:bCs w:val="0"/>
              </w:rPr>
            </w:pPr>
            <w:r w:rsidRPr="002023D4">
              <w:rPr>
                <w:b w:val="0"/>
                <w:bCs w:val="0"/>
              </w:rPr>
              <w:t>Webseitenprüfung</w:t>
            </w:r>
          </w:p>
        </w:tc>
        <w:tc>
          <w:tcPr>
            <w:tcW w:w="49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A45E7C" w14:textId="325179F3" w:rsidR="00C30F02" w:rsidRPr="002023D4" w:rsidRDefault="00C30F02" w:rsidP="00C4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D4">
              <w:t xml:space="preserve">Siehe Prüfbericht vom </w:t>
            </w:r>
            <w:r w:rsidRPr="002023D4">
              <w:rPr>
                <w:highlight w:val="yellow"/>
              </w:rPr>
              <w:t>X</w:t>
            </w:r>
            <w:r w:rsidR="002023D4" w:rsidRPr="002023D4">
              <w:rPr>
                <w:highlight w:val="yellow"/>
              </w:rPr>
              <w:t>YZ</w:t>
            </w:r>
          </w:p>
        </w:tc>
      </w:tr>
      <w:tr w:rsidR="00C30F02" w:rsidRPr="002023D4" w14:paraId="3834E4D8" w14:textId="77777777" w:rsidTr="002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C32A3B" w14:textId="77777777" w:rsidR="00C30F02" w:rsidRPr="002023D4" w:rsidRDefault="00C30F02" w:rsidP="00C403AC">
            <w:pPr>
              <w:rPr>
                <w:b w:val="0"/>
                <w:bCs w:val="0"/>
              </w:rPr>
            </w:pPr>
            <w:r w:rsidRPr="002023D4">
              <w:rPr>
                <w:b w:val="0"/>
                <w:bCs w:val="0"/>
              </w:rPr>
              <w:t>Prüfung datenschutzrelevanter Fragestellung</w:t>
            </w:r>
          </w:p>
        </w:tc>
        <w:tc>
          <w:tcPr>
            <w:tcW w:w="49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37EABA" w14:textId="77777777" w:rsidR="00C30F02" w:rsidRPr="002023D4" w:rsidRDefault="00C30F02" w:rsidP="00C4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3D4">
              <w:t>Anpassung der Facebook-Fanpage gemäß der neuen Urteilslage</w:t>
            </w:r>
          </w:p>
        </w:tc>
      </w:tr>
      <w:tr w:rsidR="00C30F02" w:rsidRPr="002023D4" w14:paraId="25032CC8" w14:textId="77777777" w:rsidTr="0020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3C154C" w14:textId="352FB49B" w:rsidR="00C30F02" w:rsidRPr="002023D4" w:rsidRDefault="00C30F02" w:rsidP="00C403AC">
            <w:pPr>
              <w:rPr>
                <w:b w:val="0"/>
                <w:bCs w:val="0"/>
              </w:rPr>
            </w:pPr>
            <w:r w:rsidRPr="002023D4">
              <w:rPr>
                <w:b w:val="0"/>
                <w:bCs w:val="0"/>
              </w:rPr>
              <w:t>Etc.</w:t>
            </w:r>
          </w:p>
        </w:tc>
        <w:tc>
          <w:tcPr>
            <w:tcW w:w="49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09F4D9" w14:textId="77777777" w:rsidR="00C30F02" w:rsidRPr="002023D4" w:rsidRDefault="00C30F02" w:rsidP="00C40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B81B58" w14:textId="63D3D69A" w:rsidR="00C30F02" w:rsidRDefault="00C30F02" w:rsidP="00782E72"/>
    <w:p w14:paraId="3833EF09" w14:textId="1DEF8926" w:rsidR="0059115E" w:rsidRDefault="00C30F02" w:rsidP="002023D4">
      <w:pPr>
        <w:pStyle w:val="berschrift1"/>
      </w:pPr>
      <w:r>
        <w:t xml:space="preserve">Interne </w:t>
      </w:r>
      <w:r w:rsidR="0059115E">
        <w:t>Kontrollen</w:t>
      </w:r>
    </w:p>
    <w:p w14:paraId="6304B128" w14:textId="096D3E71" w:rsidR="0059115E" w:rsidRDefault="0059115E" w:rsidP="002023D4">
      <w:pPr>
        <w:pStyle w:val="berschrift2"/>
      </w:pPr>
      <w:r>
        <w:t xml:space="preserve">Nachweisbarkeit datenschutzrechtlicher Maßnahmen </w:t>
      </w:r>
      <w:r w:rsidR="00782E72">
        <w:t>–</w:t>
      </w:r>
      <w:r>
        <w:t xml:space="preserve"> Einführung</w:t>
      </w:r>
      <w:r w:rsidR="00782E72">
        <w:t xml:space="preserve"> </w:t>
      </w:r>
      <w:r>
        <w:t>eines Datenschutzmanagementsystems</w:t>
      </w:r>
    </w:p>
    <w:p w14:paraId="460D36D4" w14:textId="3B28CDDD" w:rsidR="0059115E" w:rsidRDefault="0059115E" w:rsidP="00782E72">
      <w:pPr>
        <w:pStyle w:val="Listenabsatz"/>
        <w:numPr>
          <w:ilvl w:val="0"/>
          <w:numId w:val="18"/>
        </w:numPr>
      </w:pPr>
      <w:r>
        <w:t>Vorteile und Nachteile der Einführung eines Datenschutzmanagementsystems</w:t>
      </w:r>
      <w:r w:rsidR="00E958BB">
        <w:rPr>
          <w:rStyle w:val="Funotenzeichen"/>
        </w:rPr>
        <w:footnoteReference w:id="7"/>
      </w:r>
    </w:p>
    <w:p w14:paraId="03FD410E" w14:textId="23555F09" w:rsidR="0059115E" w:rsidRDefault="0059115E" w:rsidP="00782E72">
      <w:pPr>
        <w:pStyle w:val="Listenabsatz"/>
        <w:numPr>
          <w:ilvl w:val="0"/>
          <w:numId w:val="18"/>
        </w:numPr>
      </w:pPr>
      <w:r>
        <w:t>Haftungsrisiken unter der Datenschutz-Grundverordnung</w:t>
      </w:r>
    </w:p>
    <w:p w14:paraId="25B567FD" w14:textId="36541CFD" w:rsidR="0059115E" w:rsidRDefault="0059115E" w:rsidP="00782E72">
      <w:pPr>
        <w:pStyle w:val="Listenabsatz"/>
        <w:numPr>
          <w:ilvl w:val="0"/>
          <w:numId w:val="18"/>
        </w:numPr>
      </w:pPr>
      <w:r>
        <w:t>Empfehlung</w:t>
      </w:r>
      <w:r w:rsidR="00782E72">
        <w:t>en</w:t>
      </w:r>
      <w:r>
        <w:t xml:space="preserve"> </w:t>
      </w:r>
    </w:p>
    <w:p w14:paraId="53E8EF73" w14:textId="77777777" w:rsidR="00C30F02" w:rsidRDefault="00C30F02" w:rsidP="00D8500D"/>
    <w:p w14:paraId="08BE06F5" w14:textId="4F7761F1" w:rsidR="00A27169" w:rsidRDefault="00E4522C" w:rsidP="00B81CD8">
      <w:pPr>
        <w:pStyle w:val="berschrift2"/>
      </w:pPr>
      <w:r>
        <w:lastRenderedPageBreak/>
        <w:t>Datenschutz-Audit (regelmäßige Durchführung mit einheitlicher Prüfmethodik)</w:t>
      </w:r>
    </w:p>
    <w:p w14:paraId="676061BB" w14:textId="356E896D" w:rsidR="00E4522C" w:rsidRDefault="0059115E" w:rsidP="00B81CD8">
      <w:pPr>
        <w:pStyle w:val="berschrift3"/>
        <w:ind w:left="708"/>
      </w:pPr>
      <w:r>
        <w:t>GAP-Analyse Datenschutz</w:t>
      </w:r>
    </w:p>
    <w:p w14:paraId="5F50F248" w14:textId="589EFCC1" w:rsidR="0059115E" w:rsidRDefault="0059115E" w:rsidP="00D8500D">
      <w:pPr>
        <w:pStyle w:val="Listenabsatz"/>
        <w:numPr>
          <w:ilvl w:val="0"/>
          <w:numId w:val="21"/>
        </w:numPr>
        <w:ind w:left="1068"/>
      </w:pPr>
      <w:r>
        <w:t>Auftragsverarbeitung</w:t>
      </w:r>
      <w:r w:rsidR="00B81CD8">
        <w:rPr>
          <w:rStyle w:val="Funotenzeichen"/>
        </w:rPr>
        <w:footnoteReference w:id="8"/>
      </w:r>
    </w:p>
    <w:p w14:paraId="3F6B9411" w14:textId="0A2C929F" w:rsidR="0059115E" w:rsidRDefault="0059115E" w:rsidP="00D8500D">
      <w:pPr>
        <w:pStyle w:val="Listenabsatz"/>
        <w:numPr>
          <w:ilvl w:val="0"/>
          <w:numId w:val="21"/>
        </w:numPr>
        <w:ind w:left="1068"/>
      </w:pPr>
      <w:r>
        <w:t>Verzeichnis von Verarbeitungstätigkeiten</w:t>
      </w:r>
      <w:r w:rsidR="00B81CD8">
        <w:rPr>
          <w:rStyle w:val="Funotenzeichen"/>
        </w:rPr>
        <w:footnoteReference w:id="9"/>
      </w:r>
    </w:p>
    <w:p w14:paraId="1D1C16D6" w14:textId="10EAA43B" w:rsidR="0059115E" w:rsidRDefault="0059115E" w:rsidP="00D8500D">
      <w:pPr>
        <w:pStyle w:val="Listenabsatz"/>
        <w:numPr>
          <w:ilvl w:val="0"/>
          <w:numId w:val="21"/>
        </w:numPr>
        <w:ind w:left="1068"/>
      </w:pPr>
      <w:r>
        <w:t>Neues Verzeichnis von Verarbeitungstätigkeiten für Auftragsverarbeiter</w:t>
      </w:r>
    </w:p>
    <w:p w14:paraId="59A4CE3B" w14:textId="101A33D4" w:rsidR="0059115E" w:rsidRDefault="0059115E" w:rsidP="00D8500D">
      <w:pPr>
        <w:pStyle w:val="Listenabsatz"/>
        <w:numPr>
          <w:ilvl w:val="0"/>
          <w:numId w:val="21"/>
        </w:numPr>
        <w:ind w:left="1068"/>
      </w:pPr>
      <w:r>
        <w:t>Umsetzung der Transparenzpflichten</w:t>
      </w:r>
    </w:p>
    <w:p w14:paraId="22889A02" w14:textId="4FCE046B" w:rsidR="0059115E" w:rsidRDefault="0059115E" w:rsidP="00D8500D">
      <w:pPr>
        <w:pStyle w:val="Listenabsatz"/>
        <w:numPr>
          <w:ilvl w:val="0"/>
          <w:numId w:val="21"/>
        </w:numPr>
        <w:ind w:left="1068"/>
      </w:pPr>
      <w:r>
        <w:t>Datenschutzverletzungen</w:t>
      </w:r>
    </w:p>
    <w:p w14:paraId="6D88F9C5" w14:textId="3E37783E" w:rsidR="0059115E" w:rsidRDefault="0059115E" w:rsidP="00D8500D">
      <w:pPr>
        <w:pStyle w:val="Listenabsatz"/>
        <w:numPr>
          <w:ilvl w:val="0"/>
          <w:numId w:val="21"/>
        </w:numPr>
        <w:ind w:left="1068"/>
      </w:pPr>
      <w:r>
        <w:t>Anfragen Betroffener</w:t>
      </w:r>
    </w:p>
    <w:p w14:paraId="3AE2D980" w14:textId="64F8143F" w:rsidR="0059115E" w:rsidRDefault="0059115E" w:rsidP="00D8500D">
      <w:pPr>
        <w:pStyle w:val="Listenabsatz"/>
        <w:numPr>
          <w:ilvl w:val="0"/>
          <w:numId w:val="21"/>
        </w:numPr>
        <w:ind w:left="1068"/>
      </w:pPr>
      <w:r>
        <w:t>Vorbereitung auf die Datenschutz-Folgenabschätzung</w:t>
      </w:r>
      <w:r w:rsidR="00B81CD8">
        <w:rPr>
          <w:rStyle w:val="Funotenzeichen"/>
        </w:rPr>
        <w:footnoteReference w:id="10"/>
      </w:r>
    </w:p>
    <w:p w14:paraId="2BBEE2BC" w14:textId="29B7899D" w:rsidR="0059115E" w:rsidRDefault="0059115E" w:rsidP="00D8500D">
      <w:pPr>
        <w:pStyle w:val="Listenabsatz"/>
        <w:numPr>
          <w:ilvl w:val="0"/>
          <w:numId w:val="21"/>
        </w:numPr>
        <w:ind w:left="1068"/>
      </w:pPr>
      <w:r>
        <w:t>Datenschutzschulungen zur Sensibilisierung des Managements und der Mitarbeiter auf die Datenschutz-Grundverordnung</w:t>
      </w:r>
    </w:p>
    <w:p w14:paraId="5E1E09E0" w14:textId="283146B9" w:rsidR="005A2349" w:rsidRDefault="0059115E" w:rsidP="00D8500D">
      <w:pPr>
        <w:pStyle w:val="berschrift3"/>
        <w:ind w:left="708"/>
      </w:pPr>
      <w:bookmarkStart w:id="0" w:name="_GoBack"/>
      <w:bookmarkEnd w:id="0"/>
      <w:r>
        <w:t>GAP</w:t>
      </w:r>
      <w:r w:rsidR="00B81CD8">
        <w:t>-</w:t>
      </w:r>
      <w:r>
        <w:t>Analyse Sicherheit der Verarbeitung</w:t>
      </w:r>
    </w:p>
    <w:p w14:paraId="3DFF14E6" w14:textId="325157E0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Informationssicherheitsrichtlinien</w:t>
      </w:r>
      <w:r w:rsidRPr="00E17B95">
        <w:t xml:space="preserve"> </w:t>
      </w:r>
    </w:p>
    <w:p w14:paraId="7DD1964A" w14:textId="4FCCE0A3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Organisation der Informationssicherheit</w:t>
      </w:r>
      <w:r w:rsidRPr="00E17B95">
        <w:t xml:space="preserve"> </w:t>
      </w:r>
    </w:p>
    <w:p w14:paraId="6C7F93CF" w14:textId="2AEACB50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Personalsicherheit</w:t>
      </w:r>
      <w:r w:rsidRPr="00E17B95">
        <w:t xml:space="preserve"> </w:t>
      </w:r>
    </w:p>
    <w:p w14:paraId="75566102" w14:textId="65A8E2D3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Verwaltung der Werte</w:t>
      </w:r>
      <w:r w:rsidRPr="00E17B95">
        <w:t xml:space="preserve"> </w:t>
      </w:r>
    </w:p>
    <w:p w14:paraId="0DD490D3" w14:textId="092426F3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Zugangssteuerung</w:t>
      </w:r>
      <w:r w:rsidRPr="00E17B95">
        <w:t xml:space="preserve"> </w:t>
      </w:r>
    </w:p>
    <w:p w14:paraId="2EC4B550" w14:textId="4BEE8B13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Kryptographie</w:t>
      </w:r>
      <w:r w:rsidRPr="00E17B95">
        <w:t xml:space="preserve"> </w:t>
      </w:r>
    </w:p>
    <w:p w14:paraId="4B6C7C8D" w14:textId="7256241E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Physische und umgebungsbezogene Sicherheit</w:t>
      </w:r>
      <w:r w:rsidRPr="00E17B95">
        <w:t xml:space="preserve"> </w:t>
      </w:r>
    </w:p>
    <w:p w14:paraId="1BF319CC" w14:textId="4E412CE4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Betriebssicherheit</w:t>
      </w:r>
      <w:r w:rsidRPr="00E17B95">
        <w:t xml:space="preserve"> </w:t>
      </w:r>
    </w:p>
    <w:p w14:paraId="58316227" w14:textId="744F104B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Kommunikationssicherheit</w:t>
      </w:r>
      <w:r w:rsidRPr="00E17B95">
        <w:t xml:space="preserve"> </w:t>
      </w:r>
    </w:p>
    <w:p w14:paraId="798F5119" w14:textId="2F6145FA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Anschaffung, Entwicklung und Instandhaltung von Systemen</w:t>
      </w:r>
      <w:r w:rsidRPr="00E17B95">
        <w:t xml:space="preserve"> </w:t>
      </w:r>
    </w:p>
    <w:p w14:paraId="0A27319C" w14:textId="2A23D6E8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Lieferantenbeziehungen</w:t>
      </w:r>
      <w:r w:rsidRPr="00E17B95">
        <w:t xml:space="preserve"> </w:t>
      </w:r>
    </w:p>
    <w:p w14:paraId="1CA6D529" w14:textId="542AE84E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Handhabung von Informationssicherheitsvorfällen</w:t>
      </w:r>
      <w:r w:rsidRPr="00E17B95">
        <w:t xml:space="preserve"> </w:t>
      </w:r>
    </w:p>
    <w:p w14:paraId="474C552B" w14:textId="77B00C3C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Informationssicherheitsaspekte beim Business Continuity Management</w:t>
      </w:r>
      <w:r w:rsidRPr="00E17B95">
        <w:t xml:space="preserve"> </w:t>
      </w:r>
    </w:p>
    <w:p w14:paraId="566C3334" w14:textId="54E575DF" w:rsidR="0059115E" w:rsidRPr="00E17B95" w:rsidRDefault="0059115E" w:rsidP="00D8500D">
      <w:pPr>
        <w:pStyle w:val="Listenabsatz"/>
        <w:numPr>
          <w:ilvl w:val="0"/>
          <w:numId w:val="24"/>
        </w:numPr>
        <w:ind w:left="1068"/>
      </w:pPr>
      <w:r w:rsidRPr="00EC1996">
        <w:t>Compliance</w:t>
      </w:r>
      <w:r w:rsidRPr="00E17B95">
        <w:t xml:space="preserve"> </w:t>
      </w:r>
    </w:p>
    <w:p w14:paraId="0FF530E7" w14:textId="77777777" w:rsidR="0059115E" w:rsidRDefault="0059115E" w:rsidP="00782E72"/>
    <w:p w14:paraId="4C61CDAE" w14:textId="2CF4E0D5" w:rsidR="0059115E" w:rsidRDefault="0059115E" w:rsidP="00B81CD8">
      <w:pPr>
        <w:pStyle w:val="berschrift1"/>
      </w:pPr>
      <w:r>
        <w:t>Finanzieller, zeitlicher und personeller Bedarf an Ressourcen</w:t>
      </w:r>
    </w:p>
    <w:p w14:paraId="5F1C7C27" w14:textId="3E8A8D96" w:rsidR="0059115E" w:rsidRDefault="0059115E" w:rsidP="00B81CD8">
      <w:pPr>
        <w:pStyle w:val="berschrift2"/>
      </w:pPr>
      <w:r>
        <w:t>Finanzieller Aufwand</w:t>
      </w:r>
    </w:p>
    <w:p w14:paraId="724F4BD3" w14:textId="6466987E" w:rsidR="0059115E" w:rsidRDefault="0059115E" w:rsidP="00B81CD8">
      <w:pPr>
        <w:pStyle w:val="berschrift2"/>
      </w:pPr>
      <w:r>
        <w:t>Zeitlicher Aufwand</w:t>
      </w:r>
    </w:p>
    <w:p w14:paraId="570B083D" w14:textId="4EF51448" w:rsidR="0059115E" w:rsidRPr="00D63235" w:rsidRDefault="0059115E" w:rsidP="00B81CD8">
      <w:pPr>
        <w:pStyle w:val="berschrift2"/>
      </w:pPr>
      <w:r>
        <w:t>Personeller Aufwand</w:t>
      </w:r>
    </w:p>
    <w:p w14:paraId="5D47F44F" w14:textId="77777777" w:rsidR="0059115E" w:rsidRPr="001F7CC6" w:rsidRDefault="0059115E" w:rsidP="00782E72"/>
    <w:p w14:paraId="2C7466F9" w14:textId="03A83E14" w:rsidR="0059115E" w:rsidRPr="00A531A6" w:rsidRDefault="0059115E" w:rsidP="00B81CD8">
      <w:pPr>
        <w:pStyle w:val="berschrift1"/>
      </w:pPr>
      <w:r w:rsidRPr="00A531A6">
        <w:t>Sonstiges</w:t>
      </w:r>
    </w:p>
    <w:p w14:paraId="089F23FF" w14:textId="77777777" w:rsidR="0059115E" w:rsidRPr="00A531A6" w:rsidRDefault="0059115E" w:rsidP="00782E72"/>
    <w:p w14:paraId="0D55102E" w14:textId="6390D8A1" w:rsidR="0059115E" w:rsidRDefault="0059115E" w:rsidP="00B81CD8">
      <w:pPr>
        <w:pStyle w:val="berschrift1"/>
      </w:pPr>
      <w:r w:rsidRPr="00A531A6">
        <w:t>Ausblick</w:t>
      </w:r>
    </w:p>
    <w:sectPr w:rsidR="0059115E" w:rsidSect="00BD442D">
      <w:footerReference w:type="default" r:id="rId12"/>
      <w:headerReference w:type="first" r:id="rId13"/>
      <w:pgSz w:w="11906" w:h="16838"/>
      <w:pgMar w:top="1134" w:right="1134" w:bottom="1418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5440" w14:textId="77777777" w:rsidR="00EB41D6" w:rsidRDefault="00EB41D6" w:rsidP="00A34776">
      <w:pPr>
        <w:spacing w:after="0" w:line="240" w:lineRule="auto"/>
      </w:pPr>
      <w:r>
        <w:separator/>
      </w:r>
    </w:p>
  </w:endnote>
  <w:endnote w:type="continuationSeparator" w:id="0">
    <w:p w14:paraId="16748EA8" w14:textId="77777777" w:rsidR="00EB41D6" w:rsidRDefault="00EB41D6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680045"/>
      <w:docPartObj>
        <w:docPartGallery w:val="Page Numbers (Bottom of Page)"/>
        <w:docPartUnique/>
      </w:docPartObj>
    </w:sdtPr>
    <w:sdtEndPr/>
    <w:sdtContent>
      <w:p w14:paraId="1E7B3DD4" w14:textId="2DD26474" w:rsidR="002E71F3" w:rsidRDefault="002E71F3" w:rsidP="002E71F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2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FEC1" w14:textId="77777777" w:rsidR="00EB41D6" w:rsidRDefault="00EB41D6" w:rsidP="00A34776">
      <w:pPr>
        <w:spacing w:after="0" w:line="240" w:lineRule="auto"/>
      </w:pPr>
      <w:r>
        <w:separator/>
      </w:r>
    </w:p>
  </w:footnote>
  <w:footnote w:type="continuationSeparator" w:id="0">
    <w:p w14:paraId="290AFBDE" w14:textId="77777777" w:rsidR="00EB41D6" w:rsidRDefault="00EB41D6" w:rsidP="00A34776">
      <w:pPr>
        <w:spacing w:after="0" w:line="240" w:lineRule="auto"/>
      </w:pPr>
      <w:r>
        <w:continuationSeparator/>
      </w:r>
    </w:p>
  </w:footnote>
  <w:footnote w:id="1">
    <w:p w14:paraId="017FFAF3" w14:textId="77777777" w:rsidR="000E49AE" w:rsidRPr="00834398" w:rsidRDefault="000E49AE" w:rsidP="000E49AE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A8508D">
        <w:rPr>
          <w:lang w:val="de-DE"/>
        </w:rPr>
        <w:t xml:space="preserve"> Die Datenschutzkonferenz (DSK) ist ein Zusammenschluss der unabhängigen Datenschutzbehörden des Bundes und der Länder, die sich als Empfehlungsorgan in Sachen Datenschutz sieht.</w:t>
      </w:r>
    </w:p>
  </w:footnote>
  <w:footnote w:id="2">
    <w:p w14:paraId="6DE1D6FC" w14:textId="00924113" w:rsidR="00FC0B25" w:rsidRPr="00D8500D" w:rsidRDefault="00FC0B2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D8500D">
        <w:rPr>
          <w:lang w:val="de-DE"/>
        </w:rPr>
        <w:t xml:space="preserve"> </w:t>
      </w:r>
      <w:hyperlink r:id="rId1" w:history="1">
        <w:r w:rsidR="002023D4" w:rsidRPr="00680C69">
          <w:rPr>
            <w:rStyle w:val="Hyperlink"/>
            <w:lang w:val="de-DE"/>
          </w:rPr>
          <w:t>https://www.activemind.de/magazin/dsk-blacklist-dsfa/</w:t>
        </w:r>
      </w:hyperlink>
      <w:r w:rsidR="002023D4">
        <w:rPr>
          <w:lang w:val="de-DE"/>
        </w:rPr>
        <w:t xml:space="preserve"> </w:t>
      </w:r>
    </w:p>
  </w:footnote>
  <w:footnote w:id="3">
    <w:p w14:paraId="1E21038E" w14:textId="7EA9616F" w:rsidR="00FC0B25" w:rsidRPr="00D8500D" w:rsidRDefault="00FC0B25" w:rsidP="002023D4">
      <w:pPr>
        <w:pStyle w:val="Funotentext"/>
        <w:jc w:val="left"/>
        <w:rPr>
          <w:lang w:val="de-DE"/>
        </w:rPr>
      </w:pPr>
      <w:r>
        <w:rPr>
          <w:rStyle w:val="Funotenzeichen"/>
        </w:rPr>
        <w:footnoteRef/>
      </w:r>
      <w:r w:rsidR="002023D4" w:rsidRPr="002023D4">
        <w:rPr>
          <w:lang w:val="de-DE"/>
        </w:rPr>
        <w:t xml:space="preserve"> </w:t>
      </w:r>
      <w:hyperlink r:id="rId2" w:history="1">
        <w:r w:rsidR="002023D4" w:rsidRPr="00680C69">
          <w:rPr>
            <w:rStyle w:val="Hyperlink"/>
            <w:lang w:val="de-DE"/>
          </w:rPr>
          <w:t>https://www.ldi.nrw.de/mainmenu_Datenschutz/submenu_Technik/Inhalt/TechnikundOrganisation/Inhalt/Zur-Anwendbarkeit-des-TMG-fuer-nicht-oeffentliche-Stellen-ab-dem-25_-Mai-2018/Positionsbestimmung-TMG.pdf</w:t>
        </w:r>
      </w:hyperlink>
      <w:r w:rsidR="002023D4">
        <w:rPr>
          <w:lang w:val="de-DE"/>
        </w:rPr>
        <w:t xml:space="preserve"> </w:t>
      </w:r>
    </w:p>
  </w:footnote>
  <w:footnote w:id="4">
    <w:p w14:paraId="6B39204C" w14:textId="5D8D8E3F" w:rsidR="00FC0B25" w:rsidRPr="00D8500D" w:rsidRDefault="00FC0B25" w:rsidP="002023D4">
      <w:pPr>
        <w:pStyle w:val="Funotentext"/>
        <w:jc w:val="left"/>
        <w:rPr>
          <w:lang w:val="de-DE"/>
        </w:rPr>
      </w:pPr>
      <w:r>
        <w:rPr>
          <w:rStyle w:val="Funotenzeichen"/>
        </w:rPr>
        <w:footnoteRef/>
      </w:r>
      <w:r w:rsidRPr="00D8500D">
        <w:rPr>
          <w:lang w:val="de-DE"/>
        </w:rPr>
        <w:t xml:space="preserve"> </w:t>
      </w:r>
      <w:hyperlink r:id="rId3" w:history="1">
        <w:r w:rsidR="002023D4" w:rsidRPr="00680C69">
          <w:rPr>
            <w:rStyle w:val="Hyperlink"/>
            <w:lang w:val="de-DE"/>
          </w:rPr>
          <w:t>https://www.activemind.de/magazin/facebook-fanpages-dsgvo/</w:t>
        </w:r>
      </w:hyperlink>
      <w:r w:rsidR="002023D4">
        <w:rPr>
          <w:lang w:val="de-DE"/>
        </w:rPr>
        <w:t xml:space="preserve"> </w:t>
      </w:r>
    </w:p>
  </w:footnote>
  <w:footnote w:id="5">
    <w:p w14:paraId="68FD4BBD" w14:textId="3B91B24D" w:rsidR="00FC0B25" w:rsidRPr="00D8500D" w:rsidRDefault="00FC0B2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D8500D">
        <w:rPr>
          <w:lang w:val="de-DE"/>
        </w:rPr>
        <w:t xml:space="preserve"> </w:t>
      </w:r>
      <w:hyperlink r:id="rId4" w:history="1">
        <w:r w:rsidR="002023D4" w:rsidRPr="00680C69">
          <w:rPr>
            <w:rStyle w:val="Hyperlink"/>
            <w:lang w:val="de-DE"/>
          </w:rPr>
          <w:t>https://www.bvdnet.de/wp-content/uploads/2018/04/BvD-Berufsbild_Auflage-4_dt_en.pdf</w:t>
        </w:r>
      </w:hyperlink>
      <w:r w:rsidR="002023D4">
        <w:rPr>
          <w:lang w:val="de-DE"/>
        </w:rPr>
        <w:t xml:space="preserve"> </w:t>
      </w:r>
    </w:p>
  </w:footnote>
  <w:footnote w:id="6">
    <w:p w14:paraId="719F3B10" w14:textId="7BFCCA5A" w:rsidR="002023D4" w:rsidRPr="002023D4" w:rsidRDefault="002023D4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2023D4">
        <w:rPr>
          <w:lang w:val="de-DE"/>
        </w:rPr>
        <w:t xml:space="preserve"> </w:t>
      </w:r>
      <w:r>
        <w:rPr>
          <w:lang w:val="de-DE"/>
        </w:rPr>
        <w:t xml:space="preserve">Vorlage verfügbar unter: </w:t>
      </w:r>
      <w:hyperlink r:id="rId5" w:history="1">
        <w:r w:rsidRPr="00680C69">
          <w:rPr>
            <w:rStyle w:val="Hyperlink"/>
            <w:lang w:val="de-DE"/>
          </w:rPr>
          <w:t>https://www.activemind.de/datenschutz/dokumente/datenschutzkonzept/</w:t>
        </w:r>
      </w:hyperlink>
      <w:r>
        <w:rPr>
          <w:lang w:val="de-DE"/>
        </w:rPr>
        <w:t xml:space="preserve"> </w:t>
      </w:r>
    </w:p>
  </w:footnote>
  <w:footnote w:id="7">
    <w:p w14:paraId="276E5D0C" w14:textId="6A0045FF" w:rsidR="00E958BB" w:rsidRPr="00E958BB" w:rsidRDefault="00E958BB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E958BB">
        <w:rPr>
          <w:lang w:val="de-DE"/>
        </w:rPr>
        <w:t xml:space="preserve"> </w:t>
      </w:r>
      <w:r>
        <w:rPr>
          <w:lang w:val="de-DE"/>
        </w:rPr>
        <w:t xml:space="preserve">Siehe: </w:t>
      </w:r>
      <w:hyperlink r:id="rId6" w:history="1">
        <w:r w:rsidRPr="00680C69">
          <w:rPr>
            <w:rStyle w:val="Hyperlink"/>
            <w:lang w:val="de-DE"/>
          </w:rPr>
          <w:t>https://www.activemind.de/magazin/datenschutz-management-im-unternehmen/</w:t>
        </w:r>
      </w:hyperlink>
      <w:r>
        <w:rPr>
          <w:lang w:val="de-DE"/>
        </w:rPr>
        <w:t xml:space="preserve"> </w:t>
      </w:r>
    </w:p>
  </w:footnote>
  <w:footnote w:id="8">
    <w:p w14:paraId="665361C3" w14:textId="3C7907CA" w:rsidR="00B81CD8" w:rsidRPr="00B81CD8" w:rsidRDefault="00B81CD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81CD8">
        <w:rPr>
          <w:lang w:val="de-DE"/>
        </w:rPr>
        <w:t xml:space="preserve"> </w:t>
      </w:r>
      <w:r>
        <w:rPr>
          <w:lang w:val="de-DE"/>
        </w:rPr>
        <w:t xml:space="preserve">Siehe: </w:t>
      </w:r>
      <w:hyperlink r:id="rId7" w:history="1">
        <w:r w:rsidRPr="00680C69">
          <w:rPr>
            <w:rStyle w:val="Hyperlink"/>
            <w:lang w:val="de-DE"/>
          </w:rPr>
          <w:t>https://www.activemind.de/datenschutz/auftragsverarbeitung/</w:t>
        </w:r>
      </w:hyperlink>
      <w:r>
        <w:rPr>
          <w:lang w:val="de-DE"/>
        </w:rPr>
        <w:t xml:space="preserve"> </w:t>
      </w:r>
    </w:p>
  </w:footnote>
  <w:footnote w:id="9">
    <w:p w14:paraId="6B01A71D" w14:textId="25E2DF9D" w:rsidR="00B81CD8" w:rsidRPr="00B81CD8" w:rsidRDefault="00B81CD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81CD8">
        <w:rPr>
          <w:lang w:val="de-DE"/>
        </w:rPr>
        <w:t xml:space="preserve"> </w:t>
      </w:r>
      <w:r>
        <w:rPr>
          <w:lang w:val="de-DE"/>
        </w:rPr>
        <w:t xml:space="preserve">Vorlage unter: </w:t>
      </w:r>
      <w:hyperlink r:id="rId8" w:history="1">
        <w:r w:rsidRPr="00680C69">
          <w:rPr>
            <w:rStyle w:val="Hyperlink"/>
            <w:lang w:val="de-DE"/>
          </w:rPr>
          <w:t>https://www.activemind.de/datenschutz/dokumente/verfahrensverzeichnis/</w:t>
        </w:r>
      </w:hyperlink>
      <w:r>
        <w:rPr>
          <w:lang w:val="de-DE"/>
        </w:rPr>
        <w:t xml:space="preserve"> </w:t>
      </w:r>
    </w:p>
  </w:footnote>
  <w:footnote w:id="10">
    <w:p w14:paraId="1C2DA774" w14:textId="171696AC" w:rsidR="00B81CD8" w:rsidRPr="00B81CD8" w:rsidRDefault="00B81CD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81CD8">
        <w:rPr>
          <w:lang w:val="de-DE"/>
        </w:rPr>
        <w:t xml:space="preserve"> </w:t>
      </w:r>
      <w:r>
        <w:rPr>
          <w:lang w:val="de-DE"/>
        </w:rPr>
        <w:t xml:space="preserve">Siehe: </w:t>
      </w:r>
      <w:hyperlink r:id="rId9" w:history="1">
        <w:r w:rsidRPr="00680C69">
          <w:rPr>
            <w:rStyle w:val="Hyperlink"/>
            <w:lang w:val="de-DE"/>
          </w:rPr>
          <w:t>https://www.activemind.de/datenschutz/dsfa/</w:t>
        </w:r>
      </w:hyperlink>
      <w:r>
        <w:rPr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B518" w14:textId="6EA0494C" w:rsidR="00BD442D" w:rsidRDefault="00BD442D" w:rsidP="00D07CCB">
    <w:pPr>
      <w:pStyle w:val="Kopfzeile"/>
    </w:pPr>
    <w:r>
      <w:t>Version: 2.</w:t>
    </w:r>
    <w:r w:rsidR="00CF74F6">
      <w:t>2</w:t>
    </w:r>
    <w:r>
      <w:t xml:space="preserve"> | Stand: </w:t>
    </w:r>
    <w:r w:rsidR="00CF74F6">
      <w:t>20.</w:t>
    </w:r>
    <w:r w:rsidR="00D8500D">
      <w:t xml:space="preserve"> Dezember </w:t>
    </w:r>
    <w:r w:rsidR="00CF74F6">
      <w:t>2018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123C"/>
    <w:multiLevelType w:val="hybridMultilevel"/>
    <w:tmpl w:val="9E90833C"/>
    <w:lvl w:ilvl="0" w:tplc="8F2056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A4BBE"/>
    <w:multiLevelType w:val="hybridMultilevel"/>
    <w:tmpl w:val="16AC4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00E8F"/>
    <w:multiLevelType w:val="hybridMultilevel"/>
    <w:tmpl w:val="55503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344B"/>
    <w:multiLevelType w:val="hybridMultilevel"/>
    <w:tmpl w:val="B1AC9E7A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B6247"/>
    <w:multiLevelType w:val="hybridMultilevel"/>
    <w:tmpl w:val="25708E0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401D31"/>
    <w:multiLevelType w:val="hybridMultilevel"/>
    <w:tmpl w:val="131688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D1771"/>
    <w:multiLevelType w:val="hybridMultilevel"/>
    <w:tmpl w:val="12C68B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C30A9"/>
    <w:multiLevelType w:val="hybridMultilevel"/>
    <w:tmpl w:val="2162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0965"/>
    <w:multiLevelType w:val="hybridMultilevel"/>
    <w:tmpl w:val="3D044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43C94"/>
    <w:multiLevelType w:val="hybridMultilevel"/>
    <w:tmpl w:val="7338A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E2BB4"/>
    <w:multiLevelType w:val="hybridMultilevel"/>
    <w:tmpl w:val="83F01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93BF3"/>
    <w:multiLevelType w:val="hybridMultilevel"/>
    <w:tmpl w:val="54E2D12A"/>
    <w:lvl w:ilvl="0" w:tplc="89C25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B3E53"/>
    <w:multiLevelType w:val="hybridMultilevel"/>
    <w:tmpl w:val="5C6C12A6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D2B1A"/>
    <w:multiLevelType w:val="hybridMultilevel"/>
    <w:tmpl w:val="A2900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E9F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01E0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02579B"/>
    <w:multiLevelType w:val="hybridMultilevel"/>
    <w:tmpl w:val="421E0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F377B"/>
    <w:multiLevelType w:val="hybridMultilevel"/>
    <w:tmpl w:val="45F2A7FC"/>
    <w:lvl w:ilvl="0" w:tplc="57AA8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676F0"/>
    <w:multiLevelType w:val="hybridMultilevel"/>
    <w:tmpl w:val="BDAC24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1A7DF6"/>
    <w:multiLevelType w:val="hybridMultilevel"/>
    <w:tmpl w:val="932215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45736"/>
    <w:multiLevelType w:val="hybridMultilevel"/>
    <w:tmpl w:val="5270FC26"/>
    <w:lvl w:ilvl="0" w:tplc="908604F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F74625"/>
    <w:multiLevelType w:val="hybridMultilevel"/>
    <w:tmpl w:val="A40E50E2"/>
    <w:lvl w:ilvl="0" w:tplc="A0BA87A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BA71C5"/>
    <w:multiLevelType w:val="hybridMultilevel"/>
    <w:tmpl w:val="C84CC318"/>
    <w:lvl w:ilvl="0" w:tplc="885812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0"/>
  </w:num>
  <w:num w:numId="5">
    <w:abstractNumId w:val="15"/>
  </w:num>
  <w:num w:numId="6">
    <w:abstractNumId w:val="14"/>
  </w:num>
  <w:num w:numId="7">
    <w:abstractNumId w:val="5"/>
  </w:num>
  <w:num w:numId="8">
    <w:abstractNumId w:val="22"/>
  </w:num>
  <w:num w:numId="9">
    <w:abstractNumId w:val="1"/>
  </w:num>
  <w:num w:numId="10">
    <w:abstractNumId w:val="16"/>
  </w:num>
  <w:num w:numId="11">
    <w:abstractNumId w:val="6"/>
  </w:num>
  <w:num w:numId="12">
    <w:abstractNumId w:val="17"/>
  </w:num>
  <w:num w:numId="13">
    <w:abstractNumId w:val="7"/>
  </w:num>
  <w:num w:numId="14">
    <w:abstractNumId w:val="19"/>
  </w:num>
  <w:num w:numId="15">
    <w:abstractNumId w:val="12"/>
  </w:num>
  <w:num w:numId="16">
    <w:abstractNumId w:val="10"/>
  </w:num>
  <w:num w:numId="17">
    <w:abstractNumId w:val="26"/>
  </w:num>
  <w:num w:numId="18">
    <w:abstractNumId w:val="8"/>
  </w:num>
  <w:num w:numId="19">
    <w:abstractNumId w:val="4"/>
  </w:num>
  <w:num w:numId="20">
    <w:abstractNumId w:val="2"/>
  </w:num>
  <w:num w:numId="21">
    <w:abstractNumId w:val="13"/>
  </w:num>
  <w:num w:numId="22">
    <w:abstractNumId w:val="11"/>
  </w:num>
  <w:num w:numId="23">
    <w:abstractNumId w:val="25"/>
  </w:num>
  <w:num w:numId="24">
    <w:abstractNumId w:val="3"/>
  </w:num>
  <w:num w:numId="25">
    <w:abstractNumId w:val="24"/>
  </w:num>
  <w:num w:numId="26">
    <w:abstractNumId w:val="23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6"/>
    <w:rsid w:val="00064A81"/>
    <w:rsid w:val="000E49AE"/>
    <w:rsid w:val="000F280B"/>
    <w:rsid w:val="00106170"/>
    <w:rsid w:val="00142A30"/>
    <w:rsid w:val="001A209D"/>
    <w:rsid w:val="001E36BF"/>
    <w:rsid w:val="002023D4"/>
    <w:rsid w:val="00232C13"/>
    <w:rsid w:val="00267B07"/>
    <w:rsid w:val="00290426"/>
    <w:rsid w:val="002E71F3"/>
    <w:rsid w:val="003438D2"/>
    <w:rsid w:val="003D3BDF"/>
    <w:rsid w:val="004D6C28"/>
    <w:rsid w:val="004E5B4C"/>
    <w:rsid w:val="004F5CF2"/>
    <w:rsid w:val="00556844"/>
    <w:rsid w:val="00566CB1"/>
    <w:rsid w:val="0058053C"/>
    <w:rsid w:val="0059115E"/>
    <w:rsid w:val="00591FA7"/>
    <w:rsid w:val="005A2349"/>
    <w:rsid w:val="005A58BA"/>
    <w:rsid w:val="006E3CFF"/>
    <w:rsid w:val="00763B34"/>
    <w:rsid w:val="00772240"/>
    <w:rsid w:val="00782E72"/>
    <w:rsid w:val="007831B8"/>
    <w:rsid w:val="00822740"/>
    <w:rsid w:val="00846559"/>
    <w:rsid w:val="00873D1C"/>
    <w:rsid w:val="00895149"/>
    <w:rsid w:val="00907EA8"/>
    <w:rsid w:val="00964DA4"/>
    <w:rsid w:val="00965BF1"/>
    <w:rsid w:val="00972B2F"/>
    <w:rsid w:val="009F44E0"/>
    <w:rsid w:val="00A20B20"/>
    <w:rsid w:val="00A27169"/>
    <w:rsid w:val="00A34642"/>
    <w:rsid w:val="00A34776"/>
    <w:rsid w:val="00B26EC4"/>
    <w:rsid w:val="00B33E69"/>
    <w:rsid w:val="00B815DE"/>
    <w:rsid w:val="00B81CD8"/>
    <w:rsid w:val="00BD442D"/>
    <w:rsid w:val="00C30F02"/>
    <w:rsid w:val="00C3618B"/>
    <w:rsid w:val="00CC3717"/>
    <w:rsid w:val="00CF10C3"/>
    <w:rsid w:val="00CF74F6"/>
    <w:rsid w:val="00D07CCB"/>
    <w:rsid w:val="00D8500D"/>
    <w:rsid w:val="00DB72BD"/>
    <w:rsid w:val="00DC44A7"/>
    <w:rsid w:val="00E4522C"/>
    <w:rsid w:val="00E635CE"/>
    <w:rsid w:val="00E958BB"/>
    <w:rsid w:val="00EB41D6"/>
    <w:rsid w:val="00ED01D8"/>
    <w:rsid w:val="00EE1CBE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579C"/>
  <w15:chartTrackingRefBased/>
  <w15:docId w15:val="{BF9C3E96-3A74-4690-B4B0-2ADBE03B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4776"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35CE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35CE"/>
    <w:pPr>
      <w:keepNext/>
      <w:keepLines/>
      <w:numPr>
        <w:ilvl w:val="1"/>
        <w:numId w:val="2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115E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115E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23D4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23D4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23D4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23D4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23D4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ohneSST-90">
    <w:name w:val="Überschrift 2_ohne (SST-90)"/>
    <w:basedOn w:val="Standard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Standard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Fuzeile">
    <w:name w:val="footer"/>
    <w:basedOn w:val="Standard"/>
    <w:link w:val="FuzeileZchn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4776"/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63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E635CE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635CE"/>
    <w:rPr>
      <w:color w:val="2B579A"/>
      <w:shd w:val="clear" w:color="auto" w:fill="E6E6E6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D442D"/>
    <w:pPr>
      <w:ind w:left="720"/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4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4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42D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4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42D"/>
    <w:rPr>
      <w:rFonts w:eastAsia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42D"/>
    <w:rPr>
      <w:rFonts w:ascii="Segoe UI" w:eastAsia="Times New Roman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E71F3"/>
    <w:rPr>
      <w:color w:val="808080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11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115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CF74F6"/>
    <w:rPr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rsid w:val="000E49AE"/>
    <w:pPr>
      <w:spacing w:after="0" w:line="240" w:lineRule="auto"/>
      <w:jc w:val="both"/>
    </w:pPr>
    <w:rPr>
      <w:rFonts w:eastAsiaTheme="minorEastAsia" w:cstheme="minorBidi"/>
      <w:color w:val="000000" w:themeColor="text1"/>
      <w:sz w:val="20"/>
      <w:szCs w:val="20"/>
      <w:lang w:val="en-US" w:eastAsia="en-US" w:bidi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E49AE"/>
    <w:rPr>
      <w:rFonts w:eastAsiaTheme="minorEastAsia" w:cstheme="minorBidi"/>
      <w:color w:val="000000" w:themeColor="text1"/>
      <w:lang w:val="en-US" w:eastAsia="en-US" w:bidi="en-US"/>
    </w:rPr>
  </w:style>
  <w:style w:type="character" w:styleId="Funotenzeichen">
    <w:name w:val="footnote reference"/>
    <w:basedOn w:val="Absatz-Standardschriftart"/>
    <w:semiHidden/>
    <w:unhideWhenUsed/>
    <w:rsid w:val="000E49AE"/>
    <w:rPr>
      <w:vertAlign w:val="superscript"/>
    </w:rPr>
  </w:style>
  <w:style w:type="table" w:styleId="Gitternetztabelle1hellAkzent3">
    <w:name w:val="Grid Table 1 Light Accent 3"/>
    <w:basedOn w:val="NormaleTabelle"/>
    <w:uiPriority w:val="46"/>
    <w:rsid w:val="005A23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2023D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023D4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23D4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23D4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23D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23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23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ivemind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frage@activemin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vemind.de/datenschutz/dokumente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mind.de/datenschutz/dokumente/verfahrensverzeichnis/" TargetMode="External"/><Relationship Id="rId3" Type="http://schemas.openxmlformats.org/officeDocument/2006/relationships/hyperlink" Target="https://www.activemind.de/magazin/facebook-fanpages-dsgvo/" TargetMode="External"/><Relationship Id="rId7" Type="http://schemas.openxmlformats.org/officeDocument/2006/relationships/hyperlink" Target="https://www.activemind.de/datenschutz/auftragsverarbeitung/" TargetMode="External"/><Relationship Id="rId2" Type="http://schemas.openxmlformats.org/officeDocument/2006/relationships/hyperlink" Target="https://www.ldi.nrw.de/mainmenu_Datenschutz/submenu_Technik/Inhalt/TechnikundOrganisation/Inhalt/Zur-Anwendbarkeit-des-TMG-fuer-nicht-oeffentliche-Stellen-ab-dem-25_-Mai-2018/Positionsbestimmung-TMG.pdf" TargetMode="External"/><Relationship Id="rId1" Type="http://schemas.openxmlformats.org/officeDocument/2006/relationships/hyperlink" Target="https://www.activemind.de/magazin/dsk-blacklist-dsfa/" TargetMode="External"/><Relationship Id="rId6" Type="http://schemas.openxmlformats.org/officeDocument/2006/relationships/hyperlink" Target="https://www.activemind.de/magazin/datenschutz-management-im-unternehmen/" TargetMode="External"/><Relationship Id="rId5" Type="http://schemas.openxmlformats.org/officeDocument/2006/relationships/hyperlink" Target="https://www.activemind.de/datenschutz/dokumente/datenschutzkonzept/" TargetMode="External"/><Relationship Id="rId4" Type="http://schemas.openxmlformats.org/officeDocument/2006/relationships/hyperlink" Target="https://www.bvdnet.de/wp-content/uploads/2018/04/BvD-Berufsbild_Auflage-4_dt_en.pdf" TargetMode="External"/><Relationship Id="rId9" Type="http://schemas.openxmlformats.org/officeDocument/2006/relationships/hyperlink" Target="https://www.activemind.de/datenschutz/dsfa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CE36-3BB2-4E82-847E-8E6D8893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Seip</dc:creator>
  <cp:keywords/>
  <cp:lastModifiedBy>Felix Schmidt</cp:lastModifiedBy>
  <cp:revision>3</cp:revision>
  <dcterms:created xsi:type="dcterms:W3CDTF">2019-01-09T13:54:00Z</dcterms:created>
  <dcterms:modified xsi:type="dcterms:W3CDTF">2019-01-09T14:41:00Z</dcterms:modified>
</cp:coreProperties>
</file>