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9A54" w14:textId="77777777" w:rsidR="00D0331A" w:rsidRDefault="00D0331A" w:rsidP="00D0331A">
      <w:pPr>
        <w:rPr>
          <w:rStyle w:val="UntertitelZchn"/>
          <w:color w:val="002060"/>
          <w:sz w:val="52"/>
          <w:szCs w:val="80"/>
        </w:rPr>
      </w:pPr>
      <w:r>
        <w:rPr>
          <w:noProof/>
        </w:rPr>
        <w:drawing>
          <wp:inline distT="0" distB="0" distL="0" distR="0" wp14:anchorId="2DE15ACA" wp14:editId="3964CB87">
            <wp:extent cx="5760720" cy="407398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Mind-Logo-rgb-300dpi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881F" w14:textId="329C2ECD" w:rsidR="00D0331A" w:rsidRDefault="00D0331A" w:rsidP="00D0331A">
      <w:pPr>
        <w:pStyle w:val="berschrift1"/>
        <w:jc w:val="center"/>
      </w:pPr>
      <w:r>
        <w:t xml:space="preserve">Kostenlose Vorlage: </w:t>
      </w:r>
      <w:r>
        <w:br/>
      </w:r>
      <w:r w:rsidRPr="00D0331A">
        <w:t xml:space="preserve">Richtlinie </w:t>
      </w:r>
      <w:r w:rsidR="0016751F">
        <w:t xml:space="preserve">zum Verhalten bei </w:t>
      </w:r>
      <w:r w:rsidR="00293375">
        <w:t>Betroffenen</w:t>
      </w:r>
      <w:r w:rsidR="0016751F">
        <w:t>anfragen</w:t>
      </w:r>
      <w:r>
        <w:t xml:space="preserve"> </w:t>
      </w:r>
      <w:bookmarkStart w:id="0" w:name="_GoBack"/>
      <w:bookmarkEnd w:id="0"/>
      <w:r w:rsidR="00C25860">
        <w:t xml:space="preserve">gemäß </w:t>
      </w:r>
      <w:r>
        <w:t>DSGVO</w:t>
      </w:r>
    </w:p>
    <w:p w14:paraId="3EECCD8D" w14:textId="77777777" w:rsidR="00D0331A" w:rsidRDefault="00D0331A" w:rsidP="00D0331A"/>
    <w:p w14:paraId="1D966E38" w14:textId="77777777" w:rsidR="00D0331A" w:rsidRDefault="00D0331A" w:rsidP="00D0331A">
      <w:r>
        <w:t xml:space="preserve">Bei diesem Dokument handelt es sich um eine kostenlose Vorlage bzw. Checkliste der activeMind AG zu den Themenbereichen Datenschutz und Datensicherheit. Die aktuellste Version finden Sie stets auf </w:t>
      </w:r>
      <w:hyperlink r:id="rId8" w:history="1">
        <w:r>
          <w:rPr>
            <w:rStyle w:val="Hyperlink"/>
          </w:rPr>
          <w:t>im Downloadbereich u</w:t>
        </w:r>
        <w:r w:rsidRPr="00A20B20">
          <w:rPr>
            <w:rStyle w:val="Hyperlink"/>
          </w:rPr>
          <w:t>nserer Website</w:t>
        </w:r>
      </w:hyperlink>
      <w:r>
        <w:t xml:space="preserve">. </w:t>
      </w:r>
    </w:p>
    <w:p w14:paraId="2F0F2593" w14:textId="77777777" w:rsidR="00D0331A" w:rsidRDefault="00D0331A" w:rsidP="00D0331A">
      <w:r>
        <w:t xml:space="preserve">Sie können dieses Dokument an die Bedürfnisse in Ihrem Unternehmen anpassen, speichern und ausdrucken. Bitte haben Sie Verständnis dafür, dass die activeMind AG keinerlei Haftung für etwaige Fehler übernimmt. </w:t>
      </w:r>
    </w:p>
    <w:p w14:paraId="732139F6" w14:textId="77777777" w:rsidR="00D0331A" w:rsidRDefault="00D0331A" w:rsidP="00D0331A">
      <w:r>
        <w:t>Bei Fragen oder Problemen helfen wir Ihnen gerne weiter!</w:t>
      </w:r>
    </w:p>
    <w:p w14:paraId="5CB99018" w14:textId="77777777" w:rsidR="00D0331A" w:rsidRDefault="00D0331A" w:rsidP="00D0331A">
      <w:r>
        <w:t>Ihr Team der activeMind AG</w:t>
      </w:r>
    </w:p>
    <w:p w14:paraId="55D9E121" w14:textId="77777777" w:rsidR="00D0331A" w:rsidRDefault="00D0331A" w:rsidP="00D0331A">
      <w:pPr>
        <w:rPr>
          <w:rStyle w:val="UntertitelZchn"/>
          <w:color w:val="002060"/>
          <w:sz w:val="52"/>
          <w:szCs w:val="80"/>
        </w:rPr>
      </w:pPr>
      <w:r>
        <w:t xml:space="preserve">Telefon: </w:t>
      </w:r>
      <w:r>
        <w:tab/>
      </w:r>
      <w:r w:rsidR="007B397A">
        <w:t>+49 (0)89 / 91 92 94 - 900</w:t>
      </w:r>
      <w:r>
        <w:br/>
        <w:t xml:space="preserve">E-Mail: </w:t>
      </w:r>
      <w:r>
        <w:tab/>
      </w:r>
      <w:r>
        <w:tab/>
      </w:r>
      <w:hyperlink r:id="rId9" w:history="1">
        <w:r w:rsidRPr="0056074D">
          <w:rPr>
            <w:rStyle w:val="Hyperlink"/>
          </w:rPr>
          <w:t>anfrage@activemind.de</w:t>
        </w:r>
      </w:hyperlink>
      <w:r>
        <w:br/>
        <w:t xml:space="preserve">Web: </w:t>
      </w:r>
      <w:r>
        <w:tab/>
      </w:r>
      <w:r>
        <w:tab/>
      </w:r>
      <w:hyperlink r:id="rId10" w:history="1">
        <w:r w:rsidRPr="0056074D">
          <w:rPr>
            <w:rStyle w:val="Hyperlink"/>
          </w:rPr>
          <w:t>https://www.activemind.de</w:t>
        </w:r>
      </w:hyperlink>
      <w:r>
        <w:t xml:space="preserve"> </w:t>
      </w:r>
      <w:r>
        <w:br w:type="page"/>
      </w:r>
    </w:p>
    <w:p w14:paraId="229E84DC" w14:textId="77777777" w:rsidR="00D0331A" w:rsidRDefault="00D0331A" w:rsidP="004A7B19">
      <w:pPr>
        <w:pStyle w:val="berschrift1"/>
      </w:pPr>
      <w:bookmarkStart w:id="1" w:name="_Hlk9298612"/>
      <w:r w:rsidRPr="004A7B19">
        <w:lastRenderedPageBreak/>
        <w:t>Richtlinie</w:t>
      </w:r>
      <w:r w:rsidR="000863D3">
        <w:t>:</w:t>
      </w:r>
      <w:r w:rsidRPr="004A7B19">
        <w:t xml:space="preserve"> </w:t>
      </w:r>
      <w:r w:rsidR="000863D3">
        <w:t xml:space="preserve">Verhalten bei </w:t>
      </w:r>
      <w:r w:rsidR="00293375">
        <w:t>Betroffen</w:t>
      </w:r>
      <w:r w:rsidR="007050A5">
        <w:t>en</w:t>
      </w:r>
      <w:r w:rsidR="00293375">
        <w:t>anfragen</w:t>
      </w:r>
    </w:p>
    <w:p w14:paraId="365BA58B" w14:textId="48589E35" w:rsidR="00485FC3" w:rsidRPr="008F1896" w:rsidRDefault="00485FC3" w:rsidP="007317D1">
      <w:pPr>
        <w:rPr>
          <w:rFonts w:eastAsiaTheme="minorEastAsia"/>
          <w:sz w:val="22"/>
          <w:szCs w:val="28"/>
        </w:rPr>
      </w:pPr>
      <w:r w:rsidRPr="008F1896">
        <w:rPr>
          <w:rFonts w:eastAsiaTheme="minorEastAsia"/>
          <w:sz w:val="22"/>
          <w:szCs w:val="28"/>
        </w:rPr>
        <w:t xml:space="preserve">Immer mehr Betroffene machen von Ihren Betroffenenrechten aus der </w:t>
      </w:r>
      <w:r w:rsidR="000B5CCE">
        <w:rPr>
          <w:rFonts w:eastAsiaTheme="minorEastAsia"/>
          <w:sz w:val="22"/>
          <w:szCs w:val="28"/>
        </w:rPr>
        <w:t>EU-Datenschutz-Grundverordnung (</w:t>
      </w:r>
      <w:r w:rsidRPr="008F1896">
        <w:rPr>
          <w:rFonts w:eastAsiaTheme="minorEastAsia"/>
          <w:sz w:val="22"/>
          <w:szCs w:val="28"/>
        </w:rPr>
        <w:t>DSGVO</w:t>
      </w:r>
      <w:r w:rsidR="000B5CCE">
        <w:rPr>
          <w:rFonts w:eastAsiaTheme="minorEastAsia"/>
          <w:sz w:val="22"/>
          <w:szCs w:val="28"/>
        </w:rPr>
        <w:t>)</w:t>
      </w:r>
      <w:r w:rsidRPr="008F1896">
        <w:rPr>
          <w:rFonts w:eastAsiaTheme="minorEastAsia"/>
          <w:sz w:val="22"/>
          <w:szCs w:val="28"/>
        </w:rPr>
        <w:t xml:space="preserve"> Gebrauch. Dieses Dokument stellt daher gewisse Regeln zum Umgang mit Betroffenenanfragen auf. Um Schäden zu begrenzen b</w:t>
      </w:r>
      <w:r w:rsidR="00EC149C" w:rsidRPr="008F1896">
        <w:rPr>
          <w:rFonts w:eastAsiaTheme="minorEastAsia"/>
          <w:sz w:val="22"/>
          <w:szCs w:val="28"/>
        </w:rPr>
        <w:t xml:space="preserve">zw. diesen vorzubeugen, ist eine zügige und effiziente Behandlung von Betroffenenanfragen notwendig. </w:t>
      </w:r>
    </w:p>
    <w:p w14:paraId="74EA931E" w14:textId="0ABA263B" w:rsidR="0067545A" w:rsidRPr="008F1896" w:rsidRDefault="0067545A" w:rsidP="0067545A">
      <w:pPr>
        <w:rPr>
          <w:rFonts w:eastAsiaTheme="minorEastAsia"/>
          <w:sz w:val="22"/>
          <w:szCs w:val="28"/>
        </w:rPr>
      </w:pPr>
      <w:r w:rsidRPr="008F1896">
        <w:rPr>
          <w:rFonts w:eastAsiaTheme="minorEastAsia"/>
          <w:sz w:val="22"/>
          <w:szCs w:val="28"/>
        </w:rPr>
        <w:t xml:space="preserve">Die schnelle und korrekte Behandlung von Betroffenenanfragen ist sehr wichtig, </w:t>
      </w:r>
      <w:r w:rsidR="007F3987" w:rsidRPr="008F1896">
        <w:rPr>
          <w:rFonts w:eastAsiaTheme="minorEastAsia"/>
          <w:sz w:val="22"/>
          <w:szCs w:val="28"/>
        </w:rPr>
        <w:t>da diese gemäß der DSGVO vom Verantwortlichen unverzüglich zu beantworten sind.</w:t>
      </w:r>
      <w:r w:rsidRPr="008F1896">
        <w:rPr>
          <w:rFonts w:eastAsiaTheme="minorEastAsia"/>
          <w:sz w:val="22"/>
          <w:szCs w:val="28"/>
        </w:rPr>
        <w:t xml:space="preserve"> </w:t>
      </w:r>
      <w:r w:rsidR="007F3987" w:rsidRPr="008F1896">
        <w:rPr>
          <w:rFonts w:eastAsiaTheme="minorEastAsia"/>
          <w:sz w:val="22"/>
          <w:szCs w:val="28"/>
        </w:rPr>
        <w:t>Die Nichteinhaltung der</w:t>
      </w:r>
      <w:r w:rsidRPr="008F1896">
        <w:rPr>
          <w:rFonts w:eastAsiaTheme="minorEastAsia"/>
          <w:sz w:val="22"/>
          <w:szCs w:val="28"/>
        </w:rPr>
        <w:t xml:space="preserve"> </w:t>
      </w:r>
      <w:r w:rsidR="007F3987" w:rsidRPr="008F1896">
        <w:rPr>
          <w:rFonts w:eastAsiaTheme="minorEastAsia"/>
          <w:sz w:val="22"/>
          <w:szCs w:val="28"/>
        </w:rPr>
        <w:t>d</w:t>
      </w:r>
      <w:r w:rsidRPr="008F1896">
        <w:rPr>
          <w:rFonts w:eastAsiaTheme="minorEastAsia"/>
          <w:sz w:val="22"/>
          <w:szCs w:val="28"/>
        </w:rPr>
        <w:t>atenschutz</w:t>
      </w:r>
      <w:r w:rsidR="007F3987" w:rsidRPr="008F1896">
        <w:rPr>
          <w:rFonts w:eastAsiaTheme="minorEastAsia"/>
          <w:sz w:val="22"/>
          <w:szCs w:val="28"/>
        </w:rPr>
        <w:t>rechtlichen Fristen</w:t>
      </w:r>
      <w:r w:rsidRPr="008F1896">
        <w:rPr>
          <w:rFonts w:eastAsiaTheme="minorEastAsia"/>
          <w:sz w:val="22"/>
          <w:szCs w:val="28"/>
        </w:rPr>
        <w:t xml:space="preserve"> k</w:t>
      </w:r>
      <w:r w:rsidR="002655EA" w:rsidRPr="008F1896">
        <w:rPr>
          <w:rFonts w:eastAsiaTheme="minorEastAsia"/>
          <w:sz w:val="22"/>
          <w:szCs w:val="28"/>
        </w:rPr>
        <w:t>ann</w:t>
      </w:r>
      <w:r w:rsidRPr="008F1896">
        <w:rPr>
          <w:rFonts w:eastAsiaTheme="minorEastAsia"/>
          <w:sz w:val="22"/>
          <w:szCs w:val="28"/>
        </w:rPr>
        <w:t xml:space="preserve"> für unser Unternehmen schwerwiegende Folgen haben.  Verstöße </w:t>
      </w:r>
      <w:r w:rsidR="002655EA" w:rsidRPr="008F1896">
        <w:rPr>
          <w:rFonts w:eastAsiaTheme="minorEastAsia"/>
          <w:sz w:val="22"/>
          <w:szCs w:val="28"/>
        </w:rPr>
        <w:t>hiergegen</w:t>
      </w:r>
      <w:r w:rsidR="008F1896" w:rsidRPr="008F1896">
        <w:rPr>
          <w:rFonts w:eastAsiaTheme="minorEastAsia"/>
          <w:sz w:val="22"/>
          <w:szCs w:val="28"/>
        </w:rPr>
        <w:t xml:space="preserve"> können</w:t>
      </w:r>
      <w:r w:rsidR="002655EA" w:rsidRPr="008F1896">
        <w:rPr>
          <w:rFonts w:eastAsiaTheme="minorEastAsia"/>
          <w:sz w:val="22"/>
          <w:szCs w:val="28"/>
        </w:rPr>
        <w:t xml:space="preserve"> </w:t>
      </w:r>
      <w:r w:rsidRPr="008F1896">
        <w:rPr>
          <w:rFonts w:eastAsiaTheme="minorEastAsia"/>
          <w:sz w:val="22"/>
          <w:szCs w:val="28"/>
        </w:rPr>
        <w:t>Schadensersatzansprüche nach sich ziehen und nach EU-Datenschutz-Grundverordnung mit sehr hohen Bußgeldern geahndet werden.</w:t>
      </w:r>
    </w:p>
    <w:p w14:paraId="661AECFE" w14:textId="77777777" w:rsidR="0067545A" w:rsidRPr="008F1896" w:rsidRDefault="0067545A" w:rsidP="0067545A">
      <w:pPr>
        <w:rPr>
          <w:rFonts w:eastAsiaTheme="minorEastAsia"/>
          <w:sz w:val="22"/>
          <w:szCs w:val="28"/>
        </w:rPr>
      </w:pPr>
      <w:r w:rsidRPr="008F1896">
        <w:rPr>
          <w:rFonts w:eastAsiaTheme="minorEastAsia"/>
          <w:sz w:val="22"/>
          <w:szCs w:val="28"/>
        </w:rPr>
        <w:t xml:space="preserve">Neben den direkten Schäden können solche Vorfälle vor allem auch das Ansehen unseres Unternehmens dauerhaft beeinträchtigen und zu einem Vertrauensverlust seitens unserer Partner und Kunden führen. </w:t>
      </w:r>
    </w:p>
    <w:p w14:paraId="3202B94C" w14:textId="77777777" w:rsidR="00485FC3" w:rsidRPr="000863D3" w:rsidRDefault="00485FC3" w:rsidP="00485FC3">
      <w:pPr>
        <w:rPr>
          <w:rFonts w:eastAsiaTheme="minorEastAsia"/>
          <w:sz w:val="22"/>
          <w:szCs w:val="28"/>
        </w:rPr>
      </w:pPr>
      <w:r w:rsidRPr="008F1896">
        <w:rPr>
          <w:rFonts w:eastAsiaTheme="minorEastAsia"/>
          <w:sz w:val="22"/>
          <w:szCs w:val="28"/>
        </w:rPr>
        <w:t>Diese Richtlinie soll deshalb eine konkrete Hilfestellung zur korrekten Erkennung und Behandlung von Betroffenenanfragen geben.</w:t>
      </w:r>
      <w:bookmarkEnd w:id="1"/>
    </w:p>
    <w:p w14:paraId="2D8B571A" w14:textId="77777777" w:rsidR="008F1896" w:rsidRDefault="008F1896" w:rsidP="003370DB">
      <w:pPr>
        <w:pStyle w:val="berschrift2"/>
      </w:pPr>
    </w:p>
    <w:p w14:paraId="559946A7" w14:textId="77777777" w:rsidR="003370DB" w:rsidRPr="00BD4F14" w:rsidRDefault="003370DB" w:rsidP="003370DB">
      <w:pPr>
        <w:pStyle w:val="berschrift2"/>
      </w:pPr>
      <w:r w:rsidRPr="00BD4F14">
        <w:t>Präambel</w:t>
      </w:r>
    </w:p>
    <w:p w14:paraId="74385612" w14:textId="77777777" w:rsidR="00AA1C66" w:rsidRPr="000863D3" w:rsidRDefault="00D26A55" w:rsidP="000863D3">
      <w:pPr>
        <w:rPr>
          <w:sz w:val="22"/>
          <w:szCs w:val="28"/>
        </w:rPr>
      </w:pPr>
      <w:r w:rsidRPr="00C25860">
        <w:rPr>
          <w:sz w:val="22"/>
          <w:szCs w:val="28"/>
        </w:rPr>
        <w:t xml:space="preserve">Fügen Sie hier eine </w:t>
      </w:r>
      <w:r w:rsidR="003370DB" w:rsidRPr="00C25860">
        <w:rPr>
          <w:sz w:val="22"/>
          <w:szCs w:val="28"/>
        </w:rPr>
        <w:t xml:space="preserve">Kurzbeschreibung </w:t>
      </w:r>
      <w:r w:rsidRPr="00C25860">
        <w:rPr>
          <w:sz w:val="22"/>
          <w:szCs w:val="28"/>
        </w:rPr>
        <w:t xml:space="preserve">Ihres </w:t>
      </w:r>
      <w:r w:rsidR="003370DB" w:rsidRPr="00C25860">
        <w:rPr>
          <w:sz w:val="22"/>
          <w:szCs w:val="28"/>
        </w:rPr>
        <w:t xml:space="preserve">Unternehmens und </w:t>
      </w:r>
      <w:r w:rsidRPr="00C25860">
        <w:rPr>
          <w:sz w:val="22"/>
          <w:szCs w:val="28"/>
        </w:rPr>
        <w:t xml:space="preserve">die </w:t>
      </w:r>
      <w:r w:rsidR="003370DB" w:rsidRPr="00C25860">
        <w:rPr>
          <w:sz w:val="22"/>
          <w:szCs w:val="28"/>
        </w:rPr>
        <w:t>Motivation zur Einhaltung des Datenschutzes</w:t>
      </w:r>
      <w:r w:rsidRPr="00C25860">
        <w:rPr>
          <w:sz w:val="22"/>
          <w:szCs w:val="28"/>
        </w:rPr>
        <w:t xml:space="preserve"> in Ihrem Unternehmen ein</w:t>
      </w:r>
      <w:r w:rsidR="003370DB" w:rsidRPr="00C25860">
        <w:rPr>
          <w:sz w:val="22"/>
          <w:szCs w:val="28"/>
        </w:rPr>
        <w:t>.</w:t>
      </w:r>
      <w:r w:rsidR="007A4F2E" w:rsidRPr="00C25860">
        <w:rPr>
          <w:sz w:val="22"/>
          <w:szCs w:val="28"/>
        </w:rPr>
        <w:t xml:space="preserve"> </w:t>
      </w:r>
      <w:r w:rsidRPr="00C25860">
        <w:rPr>
          <w:sz w:val="22"/>
          <w:szCs w:val="28"/>
        </w:rPr>
        <w:t>Soll</w:t>
      </w:r>
      <w:r w:rsidR="00B24082" w:rsidRPr="00C25860">
        <w:rPr>
          <w:sz w:val="22"/>
          <w:szCs w:val="28"/>
        </w:rPr>
        <w:t xml:space="preserve">en mit dieser Richtlinie besondere Ziele erreicht werden, </w:t>
      </w:r>
      <w:r w:rsidR="00293375">
        <w:rPr>
          <w:sz w:val="22"/>
          <w:szCs w:val="28"/>
        </w:rPr>
        <w:t xml:space="preserve">legen Sie </w:t>
      </w:r>
      <w:r w:rsidR="00B24082" w:rsidRPr="00C25860">
        <w:rPr>
          <w:sz w:val="22"/>
          <w:szCs w:val="28"/>
        </w:rPr>
        <w:t xml:space="preserve">diese Informationen </w:t>
      </w:r>
      <w:r w:rsidR="00293375">
        <w:rPr>
          <w:sz w:val="22"/>
          <w:szCs w:val="28"/>
        </w:rPr>
        <w:t>hier dar.</w:t>
      </w:r>
      <w:r w:rsidR="00B24082" w:rsidRPr="00C25860">
        <w:rPr>
          <w:sz w:val="22"/>
          <w:szCs w:val="28"/>
        </w:rPr>
        <w:t xml:space="preserve"> </w:t>
      </w:r>
    </w:p>
    <w:p w14:paraId="304AF5D6" w14:textId="77777777" w:rsidR="004A7B19" w:rsidRPr="003370DB" w:rsidRDefault="003370DB" w:rsidP="003370DB">
      <w:pPr>
        <w:pStyle w:val="berschrift2"/>
      </w:pPr>
      <w:r w:rsidRPr="003370DB">
        <w:t>Geltungsbereich</w:t>
      </w:r>
    </w:p>
    <w:p w14:paraId="46C5F1FA" w14:textId="77777777" w:rsidR="00F34257" w:rsidRPr="000863D3" w:rsidRDefault="00F34257" w:rsidP="00293375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 w:rsidRPr="000863D3">
        <w:rPr>
          <w:rFonts w:eastAsiaTheme="minorEastAsia"/>
          <w:sz w:val="22"/>
          <w:szCs w:val="28"/>
        </w:rPr>
        <w:t>Unternehmen</w:t>
      </w:r>
    </w:p>
    <w:p w14:paraId="32E0D87E" w14:textId="77777777" w:rsidR="004A7B19" w:rsidRPr="000863D3" w:rsidRDefault="0020212D" w:rsidP="00293375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g</w:t>
      </w:r>
      <w:r w:rsidR="00B24082" w:rsidRPr="000863D3">
        <w:rPr>
          <w:rFonts w:eastAsiaTheme="minorEastAsia"/>
          <w:sz w:val="22"/>
          <w:szCs w:val="28"/>
        </w:rPr>
        <w:t>gf</w:t>
      </w:r>
      <w:r w:rsidR="00AE718D" w:rsidRPr="000863D3">
        <w:rPr>
          <w:rFonts w:eastAsiaTheme="minorEastAsia"/>
          <w:sz w:val="22"/>
          <w:szCs w:val="28"/>
        </w:rPr>
        <w:t xml:space="preserve">. externe Personen / Auftragsverarbeiter </w:t>
      </w:r>
    </w:p>
    <w:p w14:paraId="76DE16FD" w14:textId="77777777" w:rsidR="00F34257" w:rsidRPr="003802FD" w:rsidRDefault="00F34257" w:rsidP="00F34257">
      <w:pPr>
        <w:pStyle w:val="berschrift2"/>
      </w:pPr>
      <w:bookmarkStart w:id="2" w:name="_Toc363547763"/>
      <w:bookmarkStart w:id="3" w:name="_Toc403567763"/>
      <w:bookmarkStart w:id="4" w:name="_Toc504399067"/>
      <w:r w:rsidRPr="003802FD">
        <w:t>Gesetzliche Grundlagen</w:t>
      </w:r>
      <w:bookmarkEnd w:id="2"/>
      <w:bookmarkEnd w:id="3"/>
      <w:bookmarkEnd w:id="4"/>
    </w:p>
    <w:p w14:paraId="4124D11C" w14:textId="77777777" w:rsidR="00F34257" w:rsidRPr="000863D3" w:rsidRDefault="00F34257" w:rsidP="00F34257">
      <w:pPr>
        <w:rPr>
          <w:rFonts w:eastAsiaTheme="minorEastAsia"/>
          <w:sz w:val="22"/>
          <w:szCs w:val="28"/>
        </w:rPr>
      </w:pPr>
      <w:r w:rsidRPr="000863D3">
        <w:rPr>
          <w:rFonts w:eastAsiaTheme="minorEastAsia"/>
          <w:sz w:val="22"/>
          <w:szCs w:val="28"/>
        </w:rPr>
        <w:t xml:space="preserve">Folgende Regelungen sind im Zusammenhang </w:t>
      </w:r>
      <w:r w:rsidR="00D66400" w:rsidRPr="000863D3">
        <w:rPr>
          <w:rFonts w:eastAsiaTheme="minorEastAsia"/>
          <w:sz w:val="22"/>
          <w:szCs w:val="28"/>
        </w:rPr>
        <w:t>mit D</w:t>
      </w:r>
      <w:r w:rsidRPr="000863D3">
        <w:rPr>
          <w:rFonts w:eastAsiaTheme="minorEastAsia"/>
          <w:sz w:val="22"/>
          <w:szCs w:val="28"/>
        </w:rPr>
        <w:t>atenschutzverletzungen besonders relevant (</w:t>
      </w:r>
      <w:r w:rsidR="00B24082">
        <w:rPr>
          <w:rFonts w:eastAsiaTheme="minorEastAsia"/>
          <w:sz w:val="22"/>
          <w:szCs w:val="28"/>
        </w:rPr>
        <w:t>d</w:t>
      </w:r>
      <w:r w:rsidR="00B24082" w:rsidRPr="000863D3">
        <w:rPr>
          <w:rFonts w:eastAsiaTheme="minorEastAsia"/>
          <w:sz w:val="22"/>
          <w:szCs w:val="28"/>
        </w:rPr>
        <w:t xml:space="preserve">ie </w:t>
      </w:r>
      <w:r w:rsidRPr="000863D3">
        <w:rPr>
          <w:rFonts w:eastAsiaTheme="minorEastAsia"/>
          <w:sz w:val="22"/>
          <w:szCs w:val="28"/>
        </w:rPr>
        <w:t>Liste ist nicht abschließend)</w:t>
      </w:r>
      <w:r w:rsidR="00B24082">
        <w:rPr>
          <w:rFonts w:eastAsiaTheme="minorEastAsia"/>
          <w:sz w:val="22"/>
          <w:szCs w:val="28"/>
        </w:rPr>
        <w:t>:</w:t>
      </w:r>
    </w:p>
    <w:p w14:paraId="3C76F9E9" w14:textId="77777777" w:rsidR="00293375" w:rsidRDefault="00293375" w:rsidP="00293375">
      <w:pPr>
        <w:pStyle w:val="Listenabsatz"/>
        <w:numPr>
          <w:ilvl w:val="0"/>
          <w:numId w:val="6"/>
        </w:numPr>
        <w:spacing w:before="0" w:after="160" w:line="259" w:lineRule="auto"/>
        <w:jc w:val="both"/>
      </w:pPr>
      <w:r>
        <w:t>Art. 12 DSGVO</w:t>
      </w:r>
    </w:p>
    <w:p w14:paraId="3B5E3836" w14:textId="77777777" w:rsidR="00293375" w:rsidRDefault="00293375" w:rsidP="00293375">
      <w:pPr>
        <w:pStyle w:val="Listenabsatz"/>
        <w:numPr>
          <w:ilvl w:val="0"/>
          <w:numId w:val="6"/>
        </w:numPr>
        <w:spacing w:before="0" w:after="160" w:line="259" w:lineRule="auto"/>
        <w:jc w:val="both"/>
      </w:pPr>
      <w:r>
        <w:t>Art. 13 und 14 DSGVO i. V. m. §§ 29, 32 BDSG</w:t>
      </w:r>
    </w:p>
    <w:p w14:paraId="289F3DEB" w14:textId="77777777" w:rsidR="00293375" w:rsidRDefault="00293375" w:rsidP="00293375">
      <w:pPr>
        <w:pStyle w:val="Listenabsatz"/>
        <w:numPr>
          <w:ilvl w:val="0"/>
          <w:numId w:val="6"/>
        </w:numPr>
        <w:spacing w:before="0" w:after="160" w:line="259" w:lineRule="auto"/>
        <w:jc w:val="both"/>
      </w:pPr>
      <w:r>
        <w:t>Art. 15 DSGVO i. V. m. § 34 BDSG</w:t>
      </w:r>
    </w:p>
    <w:p w14:paraId="00173319" w14:textId="77777777" w:rsidR="00293375" w:rsidRDefault="00293375" w:rsidP="00293375">
      <w:pPr>
        <w:pStyle w:val="Listenabsatz"/>
        <w:numPr>
          <w:ilvl w:val="0"/>
          <w:numId w:val="6"/>
        </w:numPr>
        <w:spacing w:before="0" w:after="160" w:line="259" w:lineRule="auto"/>
        <w:jc w:val="both"/>
      </w:pPr>
      <w:r>
        <w:t>Art. 16 DSGVO</w:t>
      </w:r>
    </w:p>
    <w:p w14:paraId="150FE794" w14:textId="77777777" w:rsidR="00293375" w:rsidRDefault="00293375" w:rsidP="00293375">
      <w:pPr>
        <w:pStyle w:val="Listenabsatz"/>
        <w:numPr>
          <w:ilvl w:val="0"/>
          <w:numId w:val="6"/>
        </w:numPr>
        <w:spacing w:before="0" w:after="160" w:line="259" w:lineRule="auto"/>
        <w:jc w:val="both"/>
      </w:pPr>
      <w:r>
        <w:t>Art. 17 DSGVO i. V. m. § 35 BDSG</w:t>
      </w:r>
    </w:p>
    <w:p w14:paraId="1E33D3AA" w14:textId="77777777" w:rsidR="00293375" w:rsidRDefault="00293375" w:rsidP="00293375">
      <w:pPr>
        <w:pStyle w:val="Listenabsatz"/>
        <w:numPr>
          <w:ilvl w:val="0"/>
          <w:numId w:val="6"/>
        </w:numPr>
        <w:spacing w:before="0" w:after="160" w:line="259" w:lineRule="auto"/>
        <w:jc w:val="both"/>
      </w:pPr>
      <w:r>
        <w:t>Art. 18 - 20 DSGVO</w:t>
      </w:r>
    </w:p>
    <w:p w14:paraId="454BD90C" w14:textId="77777777" w:rsidR="00293375" w:rsidRDefault="00293375" w:rsidP="00293375">
      <w:pPr>
        <w:pStyle w:val="Listenabsatz"/>
        <w:numPr>
          <w:ilvl w:val="0"/>
          <w:numId w:val="6"/>
        </w:numPr>
        <w:spacing w:before="0" w:after="160" w:line="259" w:lineRule="auto"/>
        <w:jc w:val="both"/>
      </w:pPr>
      <w:r>
        <w:t>Art. 21 DSGVO i. V. m. § 36 BDSG</w:t>
      </w:r>
    </w:p>
    <w:p w14:paraId="09D28325" w14:textId="77777777" w:rsidR="00293375" w:rsidRDefault="00293375" w:rsidP="00293375">
      <w:pPr>
        <w:pStyle w:val="Listenabsatz"/>
        <w:numPr>
          <w:ilvl w:val="0"/>
          <w:numId w:val="6"/>
        </w:numPr>
        <w:spacing w:before="0" w:after="160" w:line="259" w:lineRule="auto"/>
        <w:jc w:val="both"/>
      </w:pPr>
      <w:r>
        <w:t>Art. 22 DSGVO i. V. m. § 37 BDSG</w:t>
      </w:r>
    </w:p>
    <w:p w14:paraId="6BFDD77D" w14:textId="77777777" w:rsidR="00293375" w:rsidRDefault="00293375" w:rsidP="00293375">
      <w:pPr>
        <w:pStyle w:val="Listenabsatz"/>
        <w:numPr>
          <w:ilvl w:val="0"/>
          <w:numId w:val="6"/>
        </w:numPr>
        <w:spacing w:before="0" w:after="160" w:line="259" w:lineRule="auto"/>
        <w:jc w:val="both"/>
      </w:pPr>
      <w:r>
        <w:t>Art. 26 Abs. 2 DSGVO</w:t>
      </w:r>
    </w:p>
    <w:p w14:paraId="0440C755" w14:textId="77777777" w:rsidR="00A951FB" w:rsidRDefault="00A951FB" w:rsidP="00A951FB">
      <w:pPr>
        <w:pStyle w:val="berschrift2"/>
      </w:pPr>
      <w:r>
        <w:t>Rollen</w:t>
      </w:r>
    </w:p>
    <w:p w14:paraId="442BB12A" w14:textId="77777777" w:rsidR="00523920" w:rsidRPr="000863D3" w:rsidRDefault="00523920" w:rsidP="00523920">
      <w:pPr>
        <w:rPr>
          <w:rFonts w:eastAsiaTheme="minorEastAsia"/>
          <w:sz w:val="22"/>
          <w:szCs w:val="28"/>
        </w:rPr>
      </w:pPr>
      <w:bookmarkStart w:id="5" w:name="_Toc403567776"/>
      <w:bookmarkStart w:id="6" w:name="_Toc504399069"/>
      <w:r w:rsidRPr="000863D3">
        <w:rPr>
          <w:sz w:val="22"/>
          <w:szCs w:val="28"/>
        </w:rPr>
        <w:t>Festlegung der Rollen und Verantwortlichkeiten, z.</w:t>
      </w:r>
      <w:r w:rsidR="00B24082">
        <w:rPr>
          <w:sz w:val="22"/>
          <w:szCs w:val="28"/>
        </w:rPr>
        <w:t> </w:t>
      </w:r>
      <w:r w:rsidRPr="000863D3">
        <w:rPr>
          <w:sz w:val="22"/>
          <w:szCs w:val="28"/>
        </w:rPr>
        <w:t>B.</w:t>
      </w:r>
      <w:r w:rsidR="00B24082">
        <w:rPr>
          <w:sz w:val="22"/>
          <w:szCs w:val="28"/>
        </w:rPr>
        <w:t>:</w:t>
      </w:r>
      <w:r w:rsidRPr="000863D3">
        <w:rPr>
          <w:sz w:val="22"/>
          <w:szCs w:val="28"/>
        </w:rPr>
        <w:t xml:space="preserve"> </w:t>
      </w:r>
    </w:p>
    <w:bookmarkEnd w:id="5"/>
    <w:bookmarkEnd w:id="6"/>
    <w:p w14:paraId="5B387551" w14:textId="77777777" w:rsidR="00302E2C" w:rsidRPr="0020212D" w:rsidRDefault="00302E2C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 w:rsidRPr="0020212D">
        <w:rPr>
          <w:rFonts w:eastAsiaTheme="minorEastAsia"/>
          <w:sz w:val="22"/>
          <w:szCs w:val="28"/>
        </w:rPr>
        <w:t>Mitarbeiterverantwortung</w:t>
      </w:r>
      <w:r w:rsidR="0020212D" w:rsidRPr="0020212D">
        <w:rPr>
          <w:rFonts w:eastAsiaTheme="minorEastAsia"/>
          <w:sz w:val="22"/>
          <w:szCs w:val="28"/>
        </w:rPr>
        <w:t xml:space="preserve"> (Verantwortlicher des betroffenen Fachbereichs) </w:t>
      </w:r>
    </w:p>
    <w:p w14:paraId="1FF99532" w14:textId="77777777" w:rsidR="0020212D" w:rsidRDefault="00302E2C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 w:rsidRPr="0020212D">
        <w:rPr>
          <w:rFonts w:eastAsiaTheme="minorEastAsia"/>
          <w:sz w:val="22"/>
          <w:szCs w:val="28"/>
        </w:rPr>
        <w:t>Durchführungsverantwortung</w:t>
      </w:r>
      <w:r w:rsidR="00DB1B13" w:rsidRPr="0020212D">
        <w:rPr>
          <w:rFonts w:eastAsiaTheme="minorEastAsia"/>
          <w:sz w:val="22"/>
          <w:szCs w:val="28"/>
        </w:rPr>
        <w:t xml:space="preserve"> (Angabe von </w:t>
      </w:r>
      <w:r w:rsidR="004369DC" w:rsidRPr="0020212D">
        <w:rPr>
          <w:rFonts w:eastAsiaTheme="minorEastAsia"/>
          <w:sz w:val="22"/>
          <w:szCs w:val="28"/>
        </w:rPr>
        <w:t>Kontaktperson</w:t>
      </w:r>
      <w:r w:rsidR="00DB1B13" w:rsidRPr="0020212D">
        <w:rPr>
          <w:rFonts w:eastAsiaTheme="minorEastAsia"/>
          <w:sz w:val="22"/>
          <w:szCs w:val="28"/>
        </w:rPr>
        <w:t xml:space="preserve"> </w:t>
      </w:r>
      <w:r w:rsidR="0020212D" w:rsidRPr="0020212D">
        <w:rPr>
          <w:rFonts w:eastAsiaTheme="minorEastAsia"/>
          <w:sz w:val="22"/>
          <w:szCs w:val="28"/>
        </w:rPr>
        <w:t xml:space="preserve">bspw. DSB </w:t>
      </w:r>
      <w:r w:rsidR="00DB1B13" w:rsidRPr="0020212D">
        <w:rPr>
          <w:rFonts w:eastAsiaTheme="minorEastAsia"/>
          <w:sz w:val="22"/>
          <w:szCs w:val="28"/>
        </w:rPr>
        <w:t xml:space="preserve">inkl. Vertretungen und deren </w:t>
      </w:r>
      <w:r w:rsidR="004E14CC" w:rsidRPr="0020212D">
        <w:rPr>
          <w:rFonts w:eastAsiaTheme="minorEastAsia"/>
          <w:sz w:val="22"/>
          <w:szCs w:val="28"/>
        </w:rPr>
        <w:t>Telefonnummer</w:t>
      </w:r>
      <w:r w:rsidR="00DB1B13" w:rsidRPr="0020212D">
        <w:rPr>
          <w:rFonts w:eastAsiaTheme="minorEastAsia"/>
          <w:sz w:val="22"/>
          <w:szCs w:val="28"/>
        </w:rPr>
        <w:t>)</w:t>
      </w:r>
    </w:p>
    <w:p w14:paraId="44DD60CD" w14:textId="77777777" w:rsidR="0020212D" w:rsidRPr="0020212D" w:rsidRDefault="0020212D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 w:rsidRPr="0020212D">
        <w:rPr>
          <w:rFonts w:eastAsiaTheme="minorEastAsia"/>
          <w:sz w:val="22"/>
          <w:szCs w:val="28"/>
        </w:rPr>
        <w:t>ggf. verantwortliches Unternehmen im Rahmen der Auftragsverarbeitung</w:t>
      </w:r>
    </w:p>
    <w:p w14:paraId="7BD776CE" w14:textId="77777777" w:rsidR="004A46A3" w:rsidRDefault="00B779E9" w:rsidP="00523920">
      <w:pPr>
        <w:pStyle w:val="berschrift2"/>
      </w:pPr>
      <w:r>
        <w:lastRenderedPageBreak/>
        <w:t xml:space="preserve">Gemeinsame Regelungen für alle Anfragen von Betroffenen </w:t>
      </w:r>
    </w:p>
    <w:p w14:paraId="13F5B0FA" w14:textId="77777777" w:rsidR="00B24082" w:rsidRPr="000863D3" w:rsidRDefault="00B779E9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Beispiele:</w:t>
      </w:r>
    </w:p>
    <w:p w14:paraId="53932F46" w14:textId="77777777" w:rsidR="00B24082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Auslegung von Anfragen</w:t>
      </w:r>
    </w:p>
    <w:p w14:paraId="50898312" w14:textId="77777777" w:rsidR="00B779E9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Eingangsbestätigung</w:t>
      </w:r>
    </w:p>
    <w:p w14:paraId="46761FEE" w14:textId="77777777" w:rsidR="00B779E9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Klärung der Identität</w:t>
      </w:r>
    </w:p>
    <w:p w14:paraId="3CB3D7DC" w14:textId="77777777" w:rsidR="00B779E9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Klärung der Berechtigung</w:t>
      </w:r>
    </w:p>
    <w:p w14:paraId="5A6CEA10" w14:textId="77777777" w:rsidR="00B779E9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Unverzügliche Behandlung</w:t>
      </w:r>
    </w:p>
    <w:p w14:paraId="1F5C4B2B" w14:textId="77777777" w:rsidR="00B779E9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Umfassende Behandlung</w:t>
      </w:r>
    </w:p>
    <w:p w14:paraId="32BC84EB" w14:textId="77777777" w:rsidR="00B779E9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Art und Weise der Bearbeitung</w:t>
      </w:r>
    </w:p>
    <w:p w14:paraId="0543EC1D" w14:textId="77777777" w:rsidR="00B779E9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Elektronisch gestellte Anfragen</w:t>
      </w:r>
    </w:p>
    <w:p w14:paraId="19C5C59E" w14:textId="77777777" w:rsidR="00B779E9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Kostenfreiheit/rechtsmissbräuchliche Anfragen</w:t>
      </w:r>
    </w:p>
    <w:p w14:paraId="533AF0E6" w14:textId="77777777" w:rsidR="00B779E9" w:rsidRPr="000863D3" w:rsidRDefault="00B779E9" w:rsidP="00B24082">
      <w:pPr>
        <w:pStyle w:val="Listenabsatz"/>
        <w:numPr>
          <w:ilvl w:val="1"/>
          <w:numId w:val="1"/>
        </w:num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Dokumentation</w:t>
      </w:r>
    </w:p>
    <w:p w14:paraId="173891BB" w14:textId="77777777" w:rsidR="00EF71BD" w:rsidRDefault="0041052F" w:rsidP="00EF71BD">
      <w:pPr>
        <w:pStyle w:val="berschrift2"/>
      </w:pPr>
      <w:r>
        <w:t>Einzelne Betroffenenrechte</w:t>
      </w:r>
    </w:p>
    <w:p w14:paraId="703B752B" w14:textId="77777777" w:rsidR="0041052F" w:rsidRDefault="0041052F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Recht auf (transparente) Information</w:t>
      </w:r>
    </w:p>
    <w:p w14:paraId="340AE257" w14:textId="77777777" w:rsidR="0041052F" w:rsidRDefault="0041052F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Auskunftsrecht</w:t>
      </w:r>
      <w:r w:rsidR="001330A9">
        <w:rPr>
          <w:rFonts w:eastAsiaTheme="minorEastAsia"/>
          <w:sz w:val="22"/>
          <w:szCs w:val="28"/>
        </w:rPr>
        <w:t xml:space="preserve"> inkl. Ausnahmen</w:t>
      </w:r>
    </w:p>
    <w:p w14:paraId="2099F6DA" w14:textId="77777777" w:rsidR="001330A9" w:rsidRDefault="001330A9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Recht auf Berichtigung und ggf. Ergänzung</w:t>
      </w:r>
    </w:p>
    <w:p w14:paraId="4D9FDB77" w14:textId="77777777" w:rsidR="00BA26E4" w:rsidRDefault="00BA26E4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Recht auf Löschung &amp; das Recht auf „Vergessenwerden“ inkl. Ausnahmen</w:t>
      </w:r>
    </w:p>
    <w:p w14:paraId="08B34F02" w14:textId="77777777" w:rsidR="00933CBB" w:rsidRDefault="00933CBB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Recht auf Einschränkung der Verarbeitung</w:t>
      </w:r>
    </w:p>
    <w:p w14:paraId="61EAACFB" w14:textId="77777777" w:rsidR="00933CBB" w:rsidRDefault="00933CBB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Recht auf Datenübertragbarkeit</w:t>
      </w:r>
    </w:p>
    <w:p w14:paraId="02FB0E4D" w14:textId="77777777" w:rsidR="00933CBB" w:rsidRPr="000863D3" w:rsidRDefault="00933CBB" w:rsidP="0041052F">
      <w:pPr>
        <w:pStyle w:val="Listenabsatz"/>
        <w:numPr>
          <w:ilvl w:val="0"/>
          <w:numId w:val="1"/>
        </w:numPr>
        <w:ind w:left="714" w:hanging="357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>Recht auf Widerspruch</w:t>
      </w:r>
    </w:p>
    <w:p w14:paraId="74604FC6" w14:textId="77777777" w:rsidR="0041052F" w:rsidRDefault="0041052F" w:rsidP="0041052F">
      <w:pPr>
        <w:pStyle w:val="berschrift2"/>
      </w:pPr>
    </w:p>
    <w:sectPr w:rsidR="0041052F" w:rsidSect="007B397A"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2905" w14:textId="77777777" w:rsidR="00C37B07" w:rsidRDefault="00C37B07" w:rsidP="007B397A">
      <w:pPr>
        <w:spacing w:before="0" w:after="0"/>
      </w:pPr>
      <w:r>
        <w:separator/>
      </w:r>
    </w:p>
  </w:endnote>
  <w:endnote w:type="continuationSeparator" w:id="0">
    <w:p w14:paraId="1A7E3DD0" w14:textId="77777777" w:rsidR="00C37B07" w:rsidRDefault="00C37B07" w:rsidP="007B39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D2FC" w14:textId="77777777" w:rsidR="00C37B07" w:rsidRDefault="00C37B07" w:rsidP="007B397A">
      <w:pPr>
        <w:spacing w:before="0" w:after="0"/>
      </w:pPr>
      <w:r>
        <w:separator/>
      </w:r>
    </w:p>
  </w:footnote>
  <w:footnote w:type="continuationSeparator" w:id="0">
    <w:p w14:paraId="6560D4DA" w14:textId="77777777" w:rsidR="00C37B07" w:rsidRDefault="00C37B07" w:rsidP="007B39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0C24" w14:textId="4A9CF1F0" w:rsidR="007B397A" w:rsidRDefault="007B397A">
    <w:pPr>
      <w:pStyle w:val="Kopfzeile"/>
    </w:pPr>
    <w:r>
      <w:t xml:space="preserve">Version </w:t>
    </w:r>
    <w:r w:rsidR="00E7689C">
      <w:t>1</w:t>
    </w:r>
    <w:r w:rsidR="00293375">
      <w:t>.0</w:t>
    </w:r>
    <w:r>
      <w:t xml:space="preserve"> | Zuletzt aktualisiert am </w:t>
    </w:r>
    <w:r w:rsidR="00310A94">
      <w:t>19</w:t>
    </w:r>
    <w:r>
      <w:t xml:space="preserve">. </w:t>
    </w:r>
    <w:r w:rsidR="00310A94">
      <w:t xml:space="preserve">Juni </w:t>
    </w:r>
    <w:r w:rsidR="00293375">
      <w:t>2019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326D"/>
    <w:multiLevelType w:val="hybridMultilevel"/>
    <w:tmpl w:val="6C6848AA"/>
    <w:lvl w:ilvl="0" w:tplc="EE606C48">
      <w:numFmt w:val="bullet"/>
      <w:lvlText w:val="•"/>
      <w:lvlJc w:val="left"/>
      <w:pPr>
        <w:ind w:left="1425" w:hanging="705"/>
      </w:pPr>
      <w:rPr>
        <w:rFonts w:ascii="Calibri" w:eastAsiaTheme="minorEastAs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B24CC"/>
    <w:multiLevelType w:val="hybridMultilevel"/>
    <w:tmpl w:val="B6881FC8"/>
    <w:lvl w:ilvl="0" w:tplc="EE606C4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00EC"/>
    <w:multiLevelType w:val="hybridMultilevel"/>
    <w:tmpl w:val="05FCF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86660"/>
    <w:multiLevelType w:val="hybridMultilevel"/>
    <w:tmpl w:val="0BF62C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8300A"/>
    <w:multiLevelType w:val="hybridMultilevel"/>
    <w:tmpl w:val="984050A8"/>
    <w:lvl w:ilvl="0" w:tplc="EE606C4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BC3"/>
    <w:multiLevelType w:val="hybridMultilevel"/>
    <w:tmpl w:val="C5B2F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NzI2N7Q0NDAyNTRR0lEKTi0uzszPAykwrgUAwk6nrywAAAA="/>
  </w:docVars>
  <w:rsids>
    <w:rsidRoot w:val="00D0331A"/>
    <w:rsid w:val="0006161F"/>
    <w:rsid w:val="0007670B"/>
    <w:rsid w:val="000863D3"/>
    <w:rsid w:val="000B5CCE"/>
    <w:rsid w:val="000C2427"/>
    <w:rsid w:val="001330A9"/>
    <w:rsid w:val="00133A3D"/>
    <w:rsid w:val="0016751F"/>
    <w:rsid w:val="001C0C00"/>
    <w:rsid w:val="001C5B58"/>
    <w:rsid w:val="001D4C1F"/>
    <w:rsid w:val="001E3310"/>
    <w:rsid w:val="001E71F4"/>
    <w:rsid w:val="0020212D"/>
    <w:rsid w:val="00203C70"/>
    <w:rsid w:val="00235AB3"/>
    <w:rsid w:val="002655EA"/>
    <w:rsid w:val="00293375"/>
    <w:rsid w:val="002B70FF"/>
    <w:rsid w:val="00302E2C"/>
    <w:rsid w:val="00310A94"/>
    <w:rsid w:val="00331E6C"/>
    <w:rsid w:val="003370DB"/>
    <w:rsid w:val="003E5203"/>
    <w:rsid w:val="0041052F"/>
    <w:rsid w:val="004369DC"/>
    <w:rsid w:val="00485FC3"/>
    <w:rsid w:val="004A46A3"/>
    <w:rsid w:val="004A7B19"/>
    <w:rsid w:val="004B1D3E"/>
    <w:rsid w:val="004E14CC"/>
    <w:rsid w:val="00523920"/>
    <w:rsid w:val="005772DB"/>
    <w:rsid w:val="0059754E"/>
    <w:rsid w:val="0063202E"/>
    <w:rsid w:val="00635BDF"/>
    <w:rsid w:val="00643CFF"/>
    <w:rsid w:val="0067545A"/>
    <w:rsid w:val="00675C7D"/>
    <w:rsid w:val="00692C53"/>
    <w:rsid w:val="007050A5"/>
    <w:rsid w:val="00717C63"/>
    <w:rsid w:val="0072657D"/>
    <w:rsid w:val="007317D1"/>
    <w:rsid w:val="007A4F2E"/>
    <w:rsid w:val="007A7482"/>
    <w:rsid w:val="007B397A"/>
    <w:rsid w:val="007B72C3"/>
    <w:rsid w:val="007F3987"/>
    <w:rsid w:val="008B6136"/>
    <w:rsid w:val="008C482A"/>
    <w:rsid w:val="008C750F"/>
    <w:rsid w:val="008E2C1E"/>
    <w:rsid w:val="008F1896"/>
    <w:rsid w:val="008F7974"/>
    <w:rsid w:val="00933CBB"/>
    <w:rsid w:val="00960C2A"/>
    <w:rsid w:val="00A94B78"/>
    <w:rsid w:val="00A951FB"/>
    <w:rsid w:val="00AA1C66"/>
    <w:rsid w:val="00AE718D"/>
    <w:rsid w:val="00B05AC4"/>
    <w:rsid w:val="00B06E7B"/>
    <w:rsid w:val="00B213FD"/>
    <w:rsid w:val="00B24082"/>
    <w:rsid w:val="00B60A00"/>
    <w:rsid w:val="00B779E9"/>
    <w:rsid w:val="00BA26E4"/>
    <w:rsid w:val="00BE5293"/>
    <w:rsid w:val="00BF4490"/>
    <w:rsid w:val="00C25860"/>
    <w:rsid w:val="00C309CE"/>
    <w:rsid w:val="00C37B07"/>
    <w:rsid w:val="00C5080D"/>
    <w:rsid w:val="00D0331A"/>
    <w:rsid w:val="00D26A55"/>
    <w:rsid w:val="00D66400"/>
    <w:rsid w:val="00D81130"/>
    <w:rsid w:val="00DB1B13"/>
    <w:rsid w:val="00DB6A5B"/>
    <w:rsid w:val="00DF4652"/>
    <w:rsid w:val="00E26520"/>
    <w:rsid w:val="00E62F64"/>
    <w:rsid w:val="00E7689C"/>
    <w:rsid w:val="00EC149C"/>
    <w:rsid w:val="00EC2347"/>
    <w:rsid w:val="00EC4DEE"/>
    <w:rsid w:val="00ED53A7"/>
    <w:rsid w:val="00EF71BD"/>
    <w:rsid w:val="00F2362A"/>
    <w:rsid w:val="00F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2C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331A"/>
    <w:pPr>
      <w:spacing w:before="120" w:after="12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331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0D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utoRedefine/>
    <w:uiPriority w:val="39"/>
    <w:qFormat/>
    <w:rsid w:val="005772DB"/>
    <w:pPr>
      <w:tabs>
        <w:tab w:val="right" w:leader="dot" w:pos="9072"/>
      </w:tabs>
      <w:spacing w:before="120" w:after="60" w:line="276" w:lineRule="auto"/>
      <w:ind w:left="567" w:right="1134" w:hanging="567"/>
    </w:pPr>
    <w:rPr>
      <w:rFonts w:ascii="Calibri" w:eastAsiaTheme="minorEastAsia" w:hAnsi="Calibri"/>
      <w:b/>
      <w:noProof/>
      <w:color w:val="002060"/>
      <w:szCs w:val="20"/>
      <w:lang w:val="en-US"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331A"/>
    <w:pPr>
      <w:spacing w:after="40" w:line="276" w:lineRule="auto"/>
      <w:jc w:val="both"/>
    </w:pPr>
    <w:rPr>
      <w:rFonts w:ascii="Arial" w:eastAsiaTheme="minorEastAsia" w:hAnsi="Arial" w:cstheme="minorBidi"/>
      <w:noProof/>
      <w:color w:val="A5A5A5" w:themeColor="accent3"/>
      <w:sz w:val="40"/>
      <w:lang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331A"/>
    <w:rPr>
      <w:rFonts w:ascii="Arial" w:eastAsiaTheme="minorEastAsia" w:hAnsi="Arial"/>
      <w:noProof/>
      <w:color w:val="A5A5A5" w:themeColor="accent3"/>
      <w:sz w:val="40"/>
      <w:szCs w:val="24"/>
      <w:lang w:bidi="en-US"/>
    </w:rPr>
  </w:style>
  <w:style w:type="paragraph" w:styleId="Verzeichnis2">
    <w:name w:val="toc 2"/>
    <w:basedOn w:val="Standard"/>
    <w:next w:val="Standard"/>
    <w:autoRedefine/>
    <w:uiPriority w:val="39"/>
    <w:rsid w:val="00D0331A"/>
    <w:pPr>
      <w:ind w:left="220"/>
    </w:pPr>
    <w:rPr>
      <w:smallCaps/>
      <w:szCs w:val="20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D0331A"/>
    <w:pPr>
      <w:ind w:left="440"/>
    </w:pPr>
    <w:rPr>
      <w:i/>
      <w:szCs w:val="20"/>
      <w:lang w:eastAsia="en-US"/>
    </w:rPr>
  </w:style>
  <w:style w:type="character" w:styleId="Hyperlink">
    <w:name w:val="Hyperlink"/>
    <w:uiPriority w:val="99"/>
    <w:unhideWhenUsed/>
    <w:rsid w:val="00D0331A"/>
    <w:rPr>
      <w:color w:val="0563C1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33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0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F342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397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97A"/>
    <w:rPr>
      <w:rFonts w:ascii="Calibri" w:eastAsia="Times New Roman" w:hAnsi="Calibri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397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397A"/>
    <w:rPr>
      <w:rFonts w:ascii="Calibri" w:eastAsia="Times New Roman" w:hAnsi="Calibri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7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7D1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08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080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80D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8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80D"/>
    <w:rPr>
      <w:rFonts w:ascii="Calibri" w:eastAsia="Times New Roman" w:hAnsi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mind.de/datenschutz/dokumen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ctivemi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frage@activemi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2019-06-19T09:05:00Z</dcterms:created>
  <dcterms:modified xsi:type="dcterms:W3CDTF">2019-06-19T09:12:00Z</dcterms:modified>
</cp:coreProperties>
</file>